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BF" w:rsidRPr="00880F31" w:rsidRDefault="00BB13BF" w:rsidP="00880F31">
      <w:pPr>
        <w:pBdr>
          <w:top w:val="none" w:sz="0" w:space="0" w:color="auto"/>
          <w:left w:val="none" w:sz="0" w:space="0" w:color="auto"/>
          <w:bottom w:val="none" w:sz="0" w:space="0" w:color="auto"/>
          <w:right w:val="none" w:sz="0" w:space="0" w:color="auto"/>
          <w:bar w:val="none" w:sz="0" w:color="auto"/>
        </w:pBdr>
        <w:spacing w:before="120" w:after="0" w:line="360" w:lineRule="auto"/>
        <w:jc w:val="center"/>
        <w:rPr>
          <w:rFonts w:ascii="Arial" w:hAnsi="Arial" w:cs="Arial"/>
          <w:b/>
          <w:bCs/>
          <w:sz w:val="36"/>
          <w:szCs w:val="36"/>
          <w:u w:val="single"/>
        </w:rPr>
      </w:pPr>
      <w:r w:rsidRPr="00880F31">
        <w:rPr>
          <w:rFonts w:ascii="Arial" w:hAnsi="Arial" w:cs="Arial"/>
          <w:b/>
          <w:bCs/>
          <w:sz w:val="36"/>
          <w:szCs w:val="36"/>
          <w:u w:val="single"/>
        </w:rPr>
        <w:t>Declaración sobre la propuesta de regulación de los cigarrillos electrónicos</w:t>
      </w: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rPr>
      </w:pPr>
      <w:r w:rsidRPr="00880F31">
        <w:rPr>
          <w:rFonts w:ascii="Arial" w:hAnsi="Arial" w:cs="Arial"/>
        </w:rPr>
        <w:t xml:space="preserve">La Comisión de Sanidad del Congreso de los Diputados </w:t>
      </w:r>
      <w:r w:rsidR="009A230A">
        <w:rPr>
          <w:rFonts w:ascii="Arial" w:hAnsi="Arial" w:cs="Arial"/>
        </w:rPr>
        <w:t>ha</w:t>
      </w:r>
      <w:r w:rsidRPr="00880F31">
        <w:rPr>
          <w:rFonts w:ascii="Arial" w:hAnsi="Arial" w:cs="Arial"/>
        </w:rPr>
        <w:t xml:space="preserve"> aproba</w:t>
      </w:r>
      <w:r w:rsidR="009A230A">
        <w:rPr>
          <w:rFonts w:ascii="Arial" w:hAnsi="Arial" w:cs="Arial"/>
        </w:rPr>
        <w:t>do</w:t>
      </w:r>
      <w:r w:rsidRPr="00880F31">
        <w:rPr>
          <w:rFonts w:ascii="Arial" w:hAnsi="Arial" w:cs="Arial"/>
        </w:rPr>
        <w:t xml:space="preserve"> una regulación sobre los cigarrillos electrónicos, que ahora </w:t>
      </w:r>
      <w:r w:rsidR="009A230A">
        <w:rPr>
          <w:rFonts w:ascii="Arial" w:hAnsi="Arial" w:cs="Arial"/>
        </w:rPr>
        <w:t>se encuentra en trámite en  el</w:t>
      </w:r>
      <w:r w:rsidRPr="00880F31">
        <w:rPr>
          <w:rFonts w:ascii="Arial" w:hAnsi="Arial" w:cs="Arial"/>
        </w:rPr>
        <w:t xml:space="preserve"> Senado. Esta regulación es necesaria dado el incremento de la comercialización y uso de estos dispositivos.</w:t>
      </w: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b/>
          <w:bCs/>
          <w:color w:val="FF0000"/>
        </w:rPr>
      </w:pPr>
      <w:r w:rsidRPr="00880F31">
        <w:rPr>
          <w:rFonts w:ascii="Arial" w:hAnsi="Arial" w:cs="Arial"/>
        </w:rPr>
        <w:t xml:space="preserve">A pesar de tener aspectos positivos, como la prohibición de venta a menores, la propuesta de regulación es muy deficiente desde el actual conocimiento científico sobre los efectos en la salud de las personas que los utilizan o que están expuestas </w:t>
      </w:r>
      <w:proofErr w:type="gramStart"/>
      <w:r w:rsidRPr="00880F31">
        <w:rPr>
          <w:rFonts w:ascii="Arial" w:hAnsi="Arial" w:cs="Arial"/>
        </w:rPr>
        <w:t>a</w:t>
      </w:r>
      <w:proofErr w:type="gramEnd"/>
      <w:r w:rsidRPr="00880F31">
        <w:rPr>
          <w:rFonts w:ascii="Arial" w:hAnsi="Arial" w:cs="Arial"/>
        </w:rPr>
        <w:t xml:space="preserve"> sus emisiones y sobre las estrategias de salud pública de control del tabaco. </w:t>
      </w:r>
      <w:r w:rsidRPr="00880F31">
        <w:rPr>
          <w:rFonts w:ascii="Arial" w:hAnsi="Arial" w:cs="Arial"/>
          <w:color w:val="auto"/>
        </w:rPr>
        <w:t>Por lo cual la regulación que precisa el cigarrillo electrónico debe ser igual que la exigible al tabaco, ya que la nicotina administrada por vía inhalada es una sustancia altamente adictiva y potencialmente tóxica</w:t>
      </w:r>
      <w:r w:rsidRPr="00880F31">
        <w:rPr>
          <w:rFonts w:ascii="Arial" w:hAnsi="Arial" w:cs="Arial"/>
          <w:b/>
          <w:bCs/>
          <w:color w:val="auto"/>
        </w:rPr>
        <w:t>.</w:t>
      </w: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b/>
          <w:bCs/>
          <w:color w:val="FF0000"/>
        </w:rPr>
      </w:pPr>
      <w:r w:rsidRPr="00880F31">
        <w:rPr>
          <w:rFonts w:ascii="Arial" w:hAnsi="Arial" w:cs="Arial"/>
        </w:rPr>
        <w:t xml:space="preserve">Por todo ello, los firmantes, consejos generales de las profesiones sanitarias, sociedades científicas y asociaciones ciudadanas y de consumidores estamos </w:t>
      </w:r>
      <w:r w:rsidRPr="00880F31">
        <w:rPr>
          <w:rFonts w:ascii="Arial" w:hAnsi="Arial" w:cs="Arial"/>
          <w:color w:val="auto"/>
        </w:rPr>
        <w:t>profundamente decepcionados</w:t>
      </w:r>
      <w:r w:rsidRPr="00880F31">
        <w:rPr>
          <w:rFonts w:ascii="Arial" w:hAnsi="Arial" w:cs="Arial"/>
        </w:rPr>
        <w:t xml:space="preserve"> y deseamos destacar tres aspectos fundamentales </w:t>
      </w:r>
      <w:r w:rsidRPr="00880F31">
        <w:rPr>
          <w:rFonts w:ascii="Arial" w:hAnsi="Arial" w:cs="Arial"/>
          <w:color w:val="auto"/>
        </w:rPr>
        <w:t>que deberían modificarse</w:t>
      </w:r>
      <w:r w:rsidRPr="00880F31">
        <w:rPr>
          <w:rFonts w:ascii="Arial" w:hAnsi="Arial" w:cs="Arial"/>
        </w:rPr>
        <w:t xml:space="preserve"> (a tener en cuenta) en el debate en el Senado sobre la regulación de los cigarrillos electrónicos:</w:t>
      </w: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ind w:left="708"/>
        <w:jc w:val="both"/>
        <w:rPr>
          <w:rFonts w:ascii="Arial" w:hAnsi="Arial" w:cs="Arial"/>
        </w:rPr>
      </w:pPr>
      <w:r w:rsidRPr="00880F31">
        <w:rPr>
          <w:rFonts w:ascii="Arial" w:hAnsi="Arial" w:cs="Arial"/>
        </w:rPr>
        <w:t xml:space="preserve">- La regulación de los espacios de utilización </w:t>
      </w: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ind w:left="708"/>
        <w:jc w:val="both"/>
        <w:rPr>
          <w:rFonts w:ascii="Arial" w:hAnsi="Arial" w:cs="Arial"/>
        </w:rPr>
      </w:pPr>
      <w:r w:rsidRPr="00880F31">
        <w:rPr>
          <w:rFonts w:ascii="Arial" w:hAnsi="Arial" w:cs="Arial"/>
        </w:rPr>
        <w:t xml:space="preserve">- La regulación de la promoción y la publicidad </w:t>
      </w:r>
    </w:p>
    <w:p w:rsidR="00BB13BF" w:rsidRDefault="00BB13BF" w:rsidP="00880F31">
      <w:pPr>
        <w:pBdr>
          <w:top w:val="none" w:sz="0" w:space="0" w:color="auto"/>
          <w:left w:val="none" w:sz="0" w:space="0" w:color="auto"/>
          <w:bottom w:val="none" w:sz="0" w:space="0" w:color="auto"/>
          <w:right w:val="none" w:sz="0" w:space="0" w:color="auto"/>
          <w:bar w:val="none" w:sz="0" w:color="auto"/>
        </w:pBdr>
        <w:spacing w:before="120" w:after="0" w:line="360" w:lineRule="auto"/>
        <w:ind w:left="708"/>
        <w:jc w:val="both"/>
        <w:rPr>
          <w:rFonts w:ascii="Arial" w:hAnsi="Arial" w:cs="Arial"/>
        </w:rPr>
      </w:pPr>
      <w:r w:rsidRPr="00880F31">
        <w:rPr>
          <w:rFonts w:ascii="Arial" w:hAnsi="Arial" w:cs="Arial"/>
        </w:rPr>
        <w:t xml:space="preserve">- La fiscalidad </w:t>
      </w:r>
    </w:p>
    <w:p w:rsidR="00880F31" w:rsidRPr="00880F31" w:rsidRDefault="00880F31" w:rsidP="00880F31">
      <w:pPr>
        <w:pBdr>
          <w:top w:val="none" w:sz="0" w:space="0" w:color="auto"/>
          <w:left w:val="none" w:sz="0" w:space="0" w:color="auto"/>
          <w:bottom w:val="none" w:sz="0" w:space="0" w:color="auto"/>
          <w:right w:val="none" w:sz="0" w:space="0" w:color="auto"/>
          <w:bar w:val="none" w:sz="0" w:color="auto"/>
        </w:pBdr>
        <w:spacing w:before="120" w:after="0" w:line="360" w:lineRule="auto"/>
        <w:ind w:left="708"/>
        <w:jc w:val="both"/>
        <w:rPr>
          <w:rFonts w:ascii="Arial" w:hAnsi="Arial" w:cs="Arial"/>
        </w:rPr>
      </w:pP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b/>
          <w:bCs/>
        </w:rPr>
      </w:pPr>
      <w:r w:rsidRPr="00880F31">
        <w:rPr>
          <w:rFonts w:ascii="Arial" w:hAnsi="Arial" w:cs="Arial"/>
          <w:b/>
          <w:bCs/>
        </w:rPr>
        <w:t xml:space="preserve">Regulación de los espacios de utilización </w:t>
      </w: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rPr>
      </w:pPr>
      <w:r w:rsidRPr="00880F31">
        <w:rPr>
          <w:rFonts w:ascii="Arial" w:hAnsi="Arial" w:cs="Arial"/>
        </w:rPr>
        <w:t xml:space="preserve">La propuesta legislativa sólo prohíbe la utilización de cigarrillos electrónicos en centros docentes y sanitarios, edificios de la Administración, transporte público y parques infantiles. Se ha propuesto una regulación similar a la que recogía la </w:t>
      </w:r>
      <w:r w:rsidRPr="00880F31">
        <w:rPr>
          <w:rFonts w:ascii="Arial" w:hAnsi="Arial" w:cs="Arial"/>
        </w:rPr>
        <w:lastRenderedPageBreak/>
        <w:t>antigua ley del tabaco del 2005, que tuvo que ser modificada en el 2010 tras comprobar las lagunas que tenía y las discriminaciones a las que daba origen, ya que dejaba desprotegidas a todas las personas que trabajan en el sector del ocio y la restauración . La regulación de cigarrillos electrónicos que propone el Congreso vuelve a discriminar a este sector.</w:t>
      </w: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rPr>
      </w:pPr>
      <w:r w:rsidRPr="00880F31">
        <w:rPr>
          <w:rFonts w:ascii="Arial" w:hAnsi="Arial" w:cs="Arial"/>
        </w:rPr>
        <w:t>La legislación sobre tabaco de 2010, que ha sido muy bien aceptada por la población según todas las encuestas, contribuyó junto con otras medidas sanitarias a la “</w:t>
      </w:r>
      <w:proofErr w:type="spellStart"/>
      <w:r w:rsidRPr="00880F31">
        <w:rPr>
          <w:rFonts w:ascii="Arial" w:hAnsi="Arial" w:cs="Arial"/>
        </w:rPr>
        <w:t>desnormalización</w:t>
      </w:r>
      <w:proofErr w:type="spellEnd"/>
      <w:r w:rsidRPr="00880F31">
        <w:rPr>
          <w:rFonts w:ascii="Arial" w:hAnsi="Arial" w:cs="Arial"/>
        </w:rPr>
        <w:t>” del consumo de tabaco en España. Lo “normal” ya no era fumar en los espacios públicos cerrados, allí donde se comparte el aire que respiramos. Esto está teniendo un efecto importante en nuestros jóvenes, que perciben más adecuadamente la peligrosidad del consumo y está contribuyendo a que muchos de ellos, no empiecen a fumar.</w:t>
      </w: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rPr>
      </w:pPr>
      <w:r w:rsidRPr="00880F31">
        <w:rPr>
          <w:rFonts w:ascii="Arial" w:hAnsi="Arial" w:cs="Arial"/>
        </w:rPr>
        <w:t>Los profesionales sanitarios</w:t>
      </w:r>
      <w:r w:rsidR="00880F31">
        <w:rPr>
          <w:rFonts w:ascii="Arial" w:hAnsi="Arial" w:cs="Arial"/>
        </w:rPr>
        <w:t xml:space="preserve"> y economistas de la salud</w:t>
      </w:r>
      <w:r w:rsidRPr="00880F31">
        <w:rPr>
          <w:rFonts w:ascii="Arial" w:hAnsi="Arial" w:cs="Arial"/>
        </w:rPr>
        <w:t xml:space="preserve"> consideramos que permitir el uso de cigarrillos electrónicos en la hostelería puede suponer un riesgo para los trabajadores y un retroceso de los avances en salud pública de la última década por su similitud con la imagen de fumar, con un efecto negativo de “</w:t>
      </w:r>
      <w:proofErr w:type="spellStart"/>
      <w:r w:rsidRPr="00880F31">
        <w:rPr>
          <w:rFonts w:ascii="Arial" w:hAnsi="Arial" w:cs="Arial"/>
        </w:rPr>
        <w:t>renormalizar</w:t>
      </w:r>
      <w:proofErr w:type="spellEnd"/>
      <w:r w:rsidRPr="00880F31">
        <w:rPr>
          <w:rFonts w:ascii="Arial" w:hAnsi="Arial" w:cs="Arial"/>
        </w:rPr>
        <w:t xml:space="preserve">” dicha conducta, con especiales efectos negativos sobre los adolescentes y jóvenes. </w:t>
      </w:r>
      <w:r w:rsidRPr="00880F31">
        <w:rPr>
          <w:rFonts w:ascii="Arial" w:hAnsi="Arial" w:cs="Arial"/>
          <w:color w:val="auto"/>
        </w:rPr>
        <w:t>Por si fuera poco, permitir esa diferencia en lugares públicos quita toda la fuerza moral sobre la prohibición de fumar en los mismos y su</w:t>
      </w:r>
      <w:r w:rsidRPr="00880F31">
        <w:rPr>
          <w:rFonts w:ascii="Arial" w:hAnsi="Arial" w:cs="Arial"/>
          <w:b/>
          <w:bCs/>
          <w:color w:val="FF0000"/>
        </w:rPr>
        <w:t xml:space="preserve"> </w:t>
      </w:r>
      <w:r w:rsidRPr="00880F31">
        <w:rPr>
          <w:rFonts w:ascii="Arial" w:hAnsi="Arial" w:cs="Arial"/>
          <w:color w:val="auto"/>
        </w:rPr>
        <w:t>control adquirida por la Ley vigente.</w:t>
      </w:r>
      <w:r w:rsidRPr="00880F31">
        <w:rPr>
          <w:rFonts w:ascii="Arial" w:hAnsi="Arial" w:cs="Arial"/>
        </w:rPr>
        <w:t xml:space="preserve"> Por ello solicitamos que la regulación de espacios para el uso de cigarrillos electrónicos sea idéntica a la aplicada al tabaco, sin excepciones en el sector del ocio y la hostelería.</w:t>
      </w: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rPr>
      </w:pP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b/>
          <w:bCs/>
          <w:color w:val="auto"/>
        </w:rPr>
      </w:pPr>
      <w:r w:rsidRPr="00880F31">
        <w:rPr>
          <w:rFonts w:ascii="Arial" w:hAnsi="Arial" w:cs="Arial"/>
          <w:b/>
          <w:bCs/>
          <w:color w:val="auto"/>
        </w:rPr>
        <w:t>Regulación de la promoción y la publicidad</w:t>
      </w: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rPr>
      </w:pPr>
      <w:r w:rsidRPr="00880F31">
        <w:rPr>
          <w:rFonts w:ascii="Arial" w:hAnsi="Arial" w:cs="Arial"/>
        </w:rPr>
        <w:t xml:space="preserve">Consideramos insuficiente que la publicidad en medios audiovisuales se prohíba solamente en el llamado “horario infantil” (de 16 a 20 horas), en lugares frecuentados “principalmente por menores de 18 años” y en los cines cuando se proyecten películas “destinadas primordialmente a menores de 18 años”. La </w:t>
      </w:r>
      <w:r w:rsidRPr="00880F31">
        <w:rPr>
          <w:rFonts w:ascii="Arial" w:hAnsi="Arial" w:cs="Arial"/>
        </w:rPr>
        <w:lastRenderedPageBreak/>
        <w:t xml:space="preserve">publicidad de estos nuevos dispositivos que contienen nicotina para su inhalación  debería restringirse al máximo. Por ello proponemos que se regule con la misma legislación ya en vigor para el tabaco, el otro producto disponible en el mercado con similares efectos sobre el organismo. </w:t>
      </w: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rPr>
      </w:pPr>
    </w:p>
    <w:p w:rsidR="00BB13BF" w:rsidRPr="00880F31"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rPr>
      </w:pPr>
      <w:r w:rsidRPr="00880F31">
        <w:rPr>
          <w:rFonts w:ascii="Arial" w:hAnsi="Arial" w:cs="Arial"/>
          <w:b/>
          <w:bCs/>
        </w:rPr>
        <w:t>Regulación de la fiscalidad</w:t>
      </w:r>
      <w:r w:rsidRPr="00880F31">
        <w:rPr>
          <w:rFonts w:ascii="Arial" w:hAnsi="Arial" w:cs="Arial"/>
        </w:rPr>
        <w:t xml:space="preserve">. </w:t>
      </w:r>
    </w:p>
    <w:p w:rsidR="00BB13BF" w:rsidRDefault="00BB13BF">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rPr>
      </w:pPr>
      <w:r w:rsidRPr="00880F31">
        <w:rPr>
          <w:rFonts w:ascii="Arial" w:hAnsi="Arial" w:cs="Arial"/>
        </w:rPr>
        <w:t>Proponemos igualar la fiscalidad de los cigarrillos electrónicos a la de los cigarrillos convencionales, dado que se trata de un nuevo producto igual de adictivo. Se ha comprobado que los impuestos y los precios altos tienen un efecto de limitación del consumo especialmente en la población juvenil. Ya se han publicado estudios que alertan de que el cigarrillo electrónico es la nueva puerta de entrada de los adolescentes y jóvenes al consumo de cigarrillos convencionales.</w:t>
      </w:r>
    </w:p>
    <w:p w:rsidR="00880F31" w:rsidRPr="00880F31" w:rsidRDefault="00880F31">
      <w:pPr>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rPr>
      </w:pPr>
    </w:p>
    <w:sectPr w:rsidR="00880F31" w:rsidRPr="00880F31" w:rsidSect="00880F31">
      <w:headerReference w:type="default" r:id="rId6"/>
      <w:footerReference w:type="default" r:id="rId7"/>
      <w:pgSz w:w="11900" w:h="16840"/>
      <w:pgMar w:top="488" w:right="1418" w:bottom="1418" w:left="1474" w:header="283"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D58" w:rsidRDefault="009C5D58" w:rsidP="00D901EB">
      <w:pPr>
        <w:pBdr>
          <w:top w:val="none" w:sz="0" w:space="0" w:color="auto"/>
          <w:left w:val="none" w:sz="0" w:space="0" w:color="auto"/>
          <w:bottom w:val="none" w:sz="0" w:space="0" w:color="auto"/>
          <w:right w:val="none" w:sz="0" w:space="0" w:color="auto"/>
          <w:bar w:val="none" w:sz="0" w:color="auto"/>
        </w:pBdr>
        <w:spacing w:after="0"/>
      </w:pPr>
      <w:r>
        <w:separator/>
      </w:r>
    </w:p>
  </w:endnote>
  <w:endnote w:type="continuationSeparator" w:id="0">
    <w:p w:rsidR="009C5D58" w:rsidRDefault="009C5D58" w:rsidP="00D901EB">
      <w:pPr>
        <w:pBdr>
          <w:top w:val="none" w:sz="0" w:space="0" w:color="auto"/>
          <w:left w:val="none" w:sz="0" w:space="0" w:color="auto"/>
          <w:bottom w:val="none" w:sz="0" w:space="0" w:color="auto"/>
          <w:right w:val="none" w:sz="0" w:space="0" w:color="auto"/>
          <w:bar w:val="none" w:sz="0" w:color="auto"/>
        </w:pBd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BF" w:rsidRDefault="000B012C">
    <w:pPr>
      <w:pStyle w:val="Piedepgina"/>
      <w:pBdr>
        <w:top w:val="none" w:sz="0" w:space="0" w:color="auto"/>
        <w:left w:val="none" w:sz="0" w:space="0" w:color="auto"/>
        <w:bottom w:val="none" w:sz="0" w:space="0" w:color="auto"/>
        <w:right w:val="none" w:sz="0" w:space="0" w:color="auto"/>
        <w:bar w:val="none" w:sz="0" w:color="auto"/>
      </w:pBdr>
      <w:tabs>
        <w:tab w:val="clear" w:pos="8504"/>
        <w:tab w:val="right" w:pos="8478"/>
      </w:tabs>
      <w:jc w:val="center"/>
    </w:pPr>
    <w:r>
      <w:fldChar w:fldCharType="begin"/>
    </w:r>
    <w:r w:rsidR="00BB13BF">
      <w:instrText xml:space="preserve"> PAGE </w:instrText>
    </w:r>
    <w:r>
      <w:fldChar w:fldCharType="separate"/>
    </w:r>
    <w:r w:rsidR="009A230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D58" w:rsidRDefault="009C5D58" w:rsidP="00D901EB">
      <w:pPr>
        <w:pBdr>
          <w:top w:val="none" w:sz="0" w:space="0" w:color="auto"/>
          <w:left w:val="none" w:sz="0" w:space="0" w:color="auto"/>
          <w:bottom w:val="none" w:sz="0" w:space="0" w:color="auto"/>
          <w:right w:val="none" w:sz="0" w:space="0" w:color="auto"/>
          <w:bar w:val="none" w:sz="0" w:color="auto"/>
        </w:pBdr>
        <w:spacing w:after="0"/>
      </w:pPr>
      <w:r>
        <w:separator/>
      </w:r>
    </w:p>
  </w:footnote>
  <w:footnote w:type="continuationSeparator" w:id="0">
    <w:p w:rsidR="009C5D58" w:rsidRDefault="009C5D58" w:rsidP="00D901EB">
      <w:pPr>
        <w:pBdr>
          <w:top w:val="none" w:sz="0" w:space="0" w:color="auto"/>
          <w:left w:val="none" w:sz="0" w:space="0" w:color="auto"/>
          <w:bottom w:val="none" w:sz="0" w:space="0" w:color="auto"/>
          <w:right w:val="none" w:sz="0" w:space="0" w:color="auto"/>
          <w:bar w:val="none" w:sz="0" w:color="auto"/>
        </w:pBd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31" w:rsidRDefault="00880F31" w:rsidP="00880F31">
    <w:pPr>
      <w:pStyle w:val="Encabezado"/>
      <w:tabs>
        <w:tab w:val="clear" w:pos="8504"/>
      </w:tabs>
    </w:pPr>
    <w:r>
      <w:rPr>
        <w:noProof/>
        <w:lang w:val="es-ES" w:eastAsia="es-ES"/>
      </w:rPr>
      <w:drawing>
        <wp:inline distT="0" distB="0" distL="0" distR="0">
          <wp:extent cx="866775" cy="885825"/>
          <wp:effectExtent l="19050" t="0" r="9525" b="0"/>
          <wp:docPr id="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66775" cy="885825"/>
                  </a:xfrm>
                  <a:prstGeom prst="rect">
                    <a:avLst/>
                  </a:prstGeom>
                  <a:noFill/>
                  <a:ln w="9525">
                    <a:noFill/>
                    <a:miter lim="800000"/>
                    <a:headEnd/>
                    <a:tailEnd/>
                  </a:ln>
                </pic:spPr>
              </pic:pic>
            </a:graphicData>
          </a:graphic>
        </wp:inline>
      </w:drawing>
    </w:r>
    <w:r>
      <w:tab/>
    </w:r>
    <w:r>
      <w:tab/>
      <w:t xml:space="preserve">                          </w:t>
    </w:r>
    <w:r>
      <w:rPr>
        <w:noProof/>
        <w:lang w:val="es-ES" w:eastAsia="es-ES"/>
      </w:rPr>
      <w:drawing>
        <wp:inline distT="0" distB="0" distL="0" distR="0">
          <wp:extent cx="1295400" cy="752475"/>
          <wp:effectExtent l="19050" t="0" r="0" b="0"/>
          <wp:docPr id="9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
                  <a:srcRect/>
                  <a:stretch>
                    <a:fillRect/>
                  </a:stretch>
                </pic:blipFill>
                <pic:spPr bwMode="auto">
                  <a:xfrm>
                    <a:off x="0" y="0"/>
                    <a:ext cx="1295400" cy="7524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901EB"/>
    <w:rsid w:val="000A33A3"/>
    <w:rsid w:val="000A40C8"/>
    <w:rsid w:val="000B012C"/>
    <w:rsid w:val="001007CE"/>
    <w:rsid w:val="00107665"/>
    <w:rsid w:val="001D54E3"/>
    <w:rsid w:val="00257D4D"/>
    <w:rsid w:val="00333C7D"/>
    <w:rsid w:val="003D2992"/>
    <w:rsid w:val="003E256D"/>
    <w:rsid w:val="005306CB"/>
    <w:rsid w:val="00545D0B"/>
    <w:rsid w:val="006A32CD"/>
    <w:rsid w:val="00737271"/>
    <w:rsid w:val="00820BEF"/>
    <w:rsid w:val="00880F31"/>
    <w:rsid w:val="008E16E0"/>
    <w:rsid w:val="008E17F7"/>
    <w:rsid w:val="0099398A"/>
    <w:rsid w:val="009A230A"/>
    <w:rsid w:val="009B599D"/>
    <w:rsid w:val="009C5D58"/>
    <w:rsid w:val="009E371D"/>
    <w:rsid w:val="00B46EEE"/>
    <w:rsid w:val="00B609CB"/>
    <w:rsid w:val="00BB13BF"/>
    <w:rsid w:val="00D901EB"/>
    <w:rsid w:val="00E727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EB"/>
    <w:pPr>
      <w:pBdr>
        <w:top w:val="none" w:sz="96" w:space="31" w:color="FFFFFF" w:frame="1"/>
        <w:left w:val="none" w:sz="96" w:space="31" w:color="FFFFFF" w:frame="1"/>
        <w:bottom w:val="none" w:sz="96" w:space="31" w:color="FFFFFF" w:frame="1"/>
        <w:right w:val="none" w:sz="96" w:space="31" w:color="FFFFFF" w:frame="1"/>
        <w:bar w:val="none" w:sz="0" w:color="000000"/>
      </w:pBdr>
      <w:spacing w:after="200"/>
    </w:pPr>
    <w:rPr>
      <w:rFonts w:hAnsi="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D901EB"/>
    <w:rPr>
      <w:u w:val="single"/>
    </w:rPr>
  </w:style>
  <w:style w:type="table" w:customStyle="1" w:styleId="TableNormal1">
    <w:name w:val="Table Normal1"/>
    <w:uiPriority w:val="99"/>
    <w:rsid w:val="00D901EB"/>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Cabeceraypie">
    <w:name w:val="Cabecera y pie"/>
    <w:uiPriority w:val="99"/>
    <w:rsid w:val="00D901E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Helvetica"/>
      <w:color w:val="000000"/>
      <w:sz w:val="24"/>
      <w:szCs w:val="24"/>
    </w:rPr>
  </w:style>
  <w:style w:type="paragraph" w:styleId="Piedepgina">
    <w:name w:val="footer"/>
    <w:basedOn w:val="Normal"/>
    <w:link w:val="PiedepginaCar"/>
    <w:uiPriority w:val="99"/>
    <w:rsid w:val="00D901EB"/>
    <w:pPr>
      <w:tabs>
        <w:tab w:val="center" w:pos="4252"/>
        <w:tab w:val="right" w:pos="8504"/>
      </w:tabs>
    </w:pPr>
    <w:rPr>
      <w:lang w:eastAsia="es-ES"/>
    </w:rPr>
  </w:style>
  <w:style w:type="character" w:customStyle="1" w:styleId="PiedepginaCar">
    <w:name w:val="Pie de página Car"/>
    <w:basedOn w:val="Fuentedeprrafopredeter"/>
    <w:link w:val="Piedepgina"/>
    <w:uiPriority w:val="99"/>
    <w:semiHidden/>
    <w:locked/>
    <w:rsid w:val="000A40C8"/>
    <w:rPr>
      <w:rFonts w:hAnsi="Arial Unicode MS"/>
      <w:color w:val="000000"/>
      <w:sz w:val="24"/>
      <w:szCs w:val="24"/>
      <w:u w:color="000000"/>
      <w:lang w:val="es-ES_tradnl" w:eastAsia="en-US"/>
    </w:rPr>
  </w:style>
  <w:style w:type="paragraph" w:styleId="Encabezado">
    <w:name w:val="header"/>
    <w:basedOn w:val="Normal"/>
    <w:link w:val="EncabezadoCar"/>
    <w:uiPriority w:val="99"/>
    <w:unhideWhenUsed/>
    <w:rsid w:val="00880F31"/>
    <w:pPr>
      <w:tabs>
        <w:tab w:val="center" w:pos="4252"/>
        <w:tab w:val="right" w:pos="8504"/>
      </w:tabs>
    </w:pPr>
  </w:style>
  <w:style w:type="character" w:customStyle="1" w:styleId="EncabezadoCar">
    <w:name w:val="Encabezado Car"/>
    <w:basedOn w:val="Fuentedeprrafopredeter"/>
    <w:link w:val="Encabezado"/>
    <w:uiPriority w:val="99"/>
    <w:rsid w:val="00880F31"/>
    <w:rPr>
      <w:rFonts w:hAnsi="Arial Unicode MS"/>
      <w:color w:val="000000"/>
      <w:sz w:val="24"/>
      <w:szCs w:val="24"/>
      <w:u w:color="000000"/>
      <w:lang w:val="es-ES_tradnl" w:eastAsia="en-US"/>
    </w:rPr>
  </w:style>
  <w:style w:type="paragraph" w:styleId="Textodeglobo">
    <w:name w:val="Balloon Text"/>
    <w:basedOn w:val="Normal"/>
    <w:link w:val="TextodegloboCar"/>
    <w:uiPriority w:val="99"/>
    <w:semiHidden/>
    <w:unhideWhenUsed/>
    <w:rsid w:val="009A230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30A"/>
    <w:rPr>
      <w:rFonts w:ascii="Tahoma" w:hAnsi="Tahoma" w:cs="Tahoma"/>
      <w:color w:val="000000"/>
      <w:sz w:val="16"/>
      <w:szCs w:val="16"/>
      <w:u w:color="000000"/>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3750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sobre la propuesta de regulación de los cigarrillos electrónicos</dc:title>
  <dc:subject/>
  <dc:creator>jrsendin</dc:creator>
  <cp:keywords/>
  <dc:description/>
  <cp:lastModifiedBy>Teresa Perez Alfageme</cp:lastModifiedBy>
  <cp:revision>3</cp:revision>
  <dcterms:created xsi:type="dcterms:W3CDTF">2014-03-12T15:09:00Z</dcterms:created>
  <dcterms:modified xsi:type="dcterms:W3CDTF">2014-03-12T16:12:00Z</dcterms:modified>
</cp:coreProperties>
</file>