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8A" w:rsidRPr="00F446F7" w:rsidRDefault="00EF23BE" w:rsidP="00F446F7">
      <w:pPr>
        <w:spacing w:after="120" w:line="240" w:lineRule="auto"/>
        <w:jc w:val="both"/>
        <w:rPr>
          <w:color w:val="000000" w:themeColor="text1"/>
          <w:sz w:val="24"/>
          <w:szCs w:val="24"/>
        </w:rPr>
      </w:pPr>
      <w:r w:rsidRPr="00F446F7">
        <w:rPr>
          <w:color w:val="000000" w:themeColor="text1"/>
          <w:sz w:val="24"/>
          <w:szCs w:val="24"/>
        </w:rPr>
        <w:t xml:space="preserve">INVERSION EN INFRAESTRUCTURAS SANITARIAS </w:t>
      </w:r>
      <w:proofErr w:type="gramStart"/>
      <w:r w:rsidRPr="00F446F7">
        <w:rPr>
          <w:color w:val="000000" w:themeColor="text1"/>
          <w:sz w:val="24"/>
          <w:szCs w:val="24"/>
        </w:rPr>
        <w:t>PUBLICAS</w:t>
      </w:r>
      <w:proofErr w:type="gramEnd"/>
      <w:r w:rsidRPr="00F446F7">
        <w:rPr>
          <w:color w:val="000000" w:themeColor="text1"/>
          <w:sz w:val="24"/>
          <w:szCs w:val="24"/>
        </w:rPr>
        <w:t xml:space="preserve">: RACIONALIDAD ECONOMICA Y PRIVATIZACION </w:t>
      </w:r>
    </w:p>
    <w:p w:rsidR="008E4BEE" w:rsidRPr="00F446F7" w:rsidRDefault="008E4BEE" w:rsidP="00F446F7">
      <w:pPr>
        <w:pStyle w:val="Textoindependiente"/>
        <w:jc w:val="both"/>
        <w:rPr>
          <w:rFonts w:cs="Arial"/>
          <w:bCs/>
          <w:iCs/>
          <w:sz w:val="24"/>
          <w:szCs w:val="24"/>
        </w:rPr>
      </w:pPr>
    </w:p>
    <w:p w:rsidR="008E4BEE" w:rsidRPr="00F446F7" w:rsidRDefault="008E4BEE" w:rsidP="00F446F7">
      <w:pPr>
        <w:pStyle w:val="Textoindependiente"/>
        <w:spacing w:after="0"/>
        <w:jc w:val="both"/>
        <w:rPr>
          <w:rFonts w:cs="Arial"/>
          <w:bCs/>
          <w:iCs/>
          <w:sz w:val="24"/>
          <w:szCs w:val="24"/>
        </w:rPr>
      </w:pPr>
      <w:r w:rsidRPr="00F446F7">
        <w:rPr>
          <w:rFonts w:cs="Arial"/>
          <w:bCs/>
          <w:iCs/>
          <w:sz w:val="24"/>
          <w:szCs w:val="24"/>
        </w:rPr>
        <w:t>Luis Angel Oteo Ochoa.</w:t>
      </w:r>
    </w:p>
    <w:p w:rsidR="008E4BEE" w:rsidRPr="00F446F7" w:rsidRDefault="008E4BEE" w:rsidP="00F446F7">
      <w:pPr>
        <w:pStyle w:val="Textoindependiente"/>
        <w:spacing w:after="0"/>
        <w:jc w:val="both"/>
        <w:rPr>
          <w:rFonts w:cs="Arial"/>
          <w:bCs/>
          <w:iCs/>
          <w:sz w:val="24"/>
          <w:szCs w:val="24"/>
        </w:rPr>
      </w:pPr>
      <w:r w:rsidRPr="00F446F7">
        <w:rPr>
          <w:rFonts w:cs="Arial"/>
          <w:bCs/>
          <w:iCs/>
          <w:sz w:val="24"/>
          <w:szCs w:val="24"/>
        </w:rPr>
        <w:t xml:space="preserve">Jefe Dpto. Desarrollo Directivo y Gestión de Servicios Sanitarios. </w:t>
      </w:r>
    </w:p>
    <w:p w:rsidR="008E4BEE" w:rsidRPr="00F446F7" w:rsidRDefault="008E4BEE" w:rsidP="00F446F7">
      <w:pPr>
        <w:pStyle w:val="Textoindependiente"/>
        <w:spacing w:after="0"/>
        <w:jc w:val="both"/>
        <w:rPr>
          <w:rFonts w:cs="Arial"/>
          <w:bCs/>
          <w:iCs/>
          <w:sz w:val="24"/>
          <w:szCs w:val="24"/>
        </w:rPr>
      </w:pPr>
      <w:r w:rsidRPr="00F446F7">
        <w:rPr>
          <w:rFonts w:cs="Arial"/>
          <w:bCs/>
          <w:iCs/>
          <w:sz w:val="24"/>
          <w:szCs w:val="24"/>
        </w:rPr>
        <w:t>Escuela Nacional de Sanidad. Instituto de Salud Carlos III</w:t>
      </w:r>
    </w:p>
    <w:p w:rsidR="00EF23BE" w:rsidRPr="00F446F7" w:rsidRDefault="00EF23BE" w:rsidP="00F446F7">
      <w:pPr>
        <w:spacing w:after="120" w:line="240" w:lineRule="auto"/>
        <w:jc w:val="both"/>
        <w:rPr>
          <w:rFonts w:cs="Swiss721BT-Light"/>
          <w:color w:val="000000" w:themeColor="text1"/>
          <w:sz w:val="24"/>
          <w:szCs w:val="24"/>
        </w:rPr>
      </w:pPr>
    </w:p>
    <w:p w:rsidR="008E4BEE" w:rsidRPr="00F446F7" w:rsidRDefault="008E4BEE" w:rsidP="00F446F7">
      <w:pPr>
        <w:spacing w:after="120" w:line="240" w:lineRule="auto"/>
        <w:jc w:val="both"/>
        <w:rPr>
          <w:rFonts w:cs="Swiss721BT-Light"/>
          <w:color w:val="000000" w:themeColor="text1"/>
          <w:sz w:val="24"/>
          <w:szCs w:val="24"/>
        </w:rPr>
      </w:pPr>
    </w:p>
    <w:p w:rsidR="006C74B7" w:rsidRPr="00F446F7" w:rsidRDefault="008E4BEE" w:rsidP="00F446F7">
      <w:pPr>
        <w:autoSpaceDE w:val="0"/>
        <w:autoSpaceDN w:val="0"/>
        <w:adjustRightInd w:val="0"/>
        <w:spacing w:after="0" w:line="240" w:lineRule="auto"/>
        <w:jc w:val="both"/>
        <w:rPr>
          <w:rFonts w:cs="TimesNewRomanPSMT"/>
          <w:sz w:val="24"/>
          <w:szCs w:val="24"/>
        </w:rPr>
      </w:pPr>
      <w:r w:rsidRPr="00F446F7">
        <w:rPr>
          <w:rFonts w:cs="Swiss721BT-Light"/>
          <w:color w:val="000000" w:themeColor="text1"/>
          <w:sz w:val="24"/>
          <w:szCs w:val="24"/>
        </w:rPr>
        <w:t>Como refiere</w:t>
      </w:r>
      <w:bookmarkStart w:id="0" w:name="_GoBack"/>
      <w:bookmarkEnd w:id="0"/>
      <w:r w:rsidRPr="00F446F7">
        <w:rPr>
          <w:rFonts w:cs="TimesNewRomanPSMT"/>
          <w:sz w:val="24"/>
          <w:szCs w:val="24"/>
        </w:rPr>
        <w:t xml:space="preserve"> Abdul </w:t>
      </w:r>
      <w:proofErr w:type="spellStart"/>
      <w:r w:rsidRPr="00F446F7">
        <w:rPr>
          <w:rFonts w:cs="TimesNewRomanPSMT"/>
          <w:sz w:val="24"/>
          <w:szCs w:val="24"/>
        </w:rPr>
        <w:t>Abiad</w:t>
      </w:r>
      <w:proofErr w:type="spellEnd"/>
      <w:r w:rsidRPr="00F446F7">
        <w:rPr>
          <w:rFonts w:cs="TimesNewRomanPSMT"/>
          <w:sz w:val="24"/>
          <w:szCs w:val="24"/>
        </w:rPr>
        <w:t xml:space="preserve"> y </w:t>
      </w:r>
      <w:r w:rsidRPr="00F446F7">
        <w:rPr>
          <w:rFonts w:cs="Swiss721BT-Light"/>
          <w:color w:val="000000" w:themeColor="text1"/>
          <w:sz w:val="24"/>
          <w:szCs w:val="24"/>
        </w:rPr>
        <w:t xml:space="preserve"> </w:t>
      </w:r>
      <w:r w:rsidR="006C74B7" w:rsidRPr="00F446F7">
        <w:rPr>
          <w:rFonts w:cs="Swiss721BT-Light"/>
          <w:color w:val="000000" w:themeColor="text1"/>
          <w:sz w:val="24"/>
          <w:szCs w:val="24"/>
        </w:rPr>
        <w:t>colaboradores (FMI 2014)</w:t>
      </w:r>
      <w:r w:rsidR="006C74B7" w:rsidRPr="00F446F7">
        <w:rPr>
          <w:rStyle w:val="Refdenotaalpie"/>
          <w:rFonts w:cs="TimesNewRomanPSMT"/>
          <w:sz w:val="24"/>
          <w:szCs w:val="24"/>
        </w:rPr>
        <w:footnoteReference w:id="1"/>
      </w:r>
      <w:r w:rsidR="006C74B7" w:rsidRPr="00F446F7">
        <w:rPr>
          <w:rFonts w:cs="Swiss721BT-Light"/>
          <w:color w:val="000000" w:themeColor="text1"/>
          <w:sz w:val="24"/>
          <w:szCs w:val="24"/>
        </w:rPr>
        <w:t>, la</w:t>
      </w:r>
      <w:r w:rsidR="006C74B7" w:rsidRPr="00F446F7">
        <w:rPr>
          <w:rFonts w:cs="TimesNewRomanPS-BoldMT"/>
          <w:bCs/>
          <w:sz w:val="24"/>
          <w:szCs w:val="24"/>
        </w:rPr>
        <w:t xml:space="preserve"> infraestructura pública es un insumo indispensable para la producción de una economía </w:t>
      </w:r>
      <w:r w:rsidR="006C74B7" w:rsidRPr="00F446F7">
        <w:rPr>
          <w:rFonts w:cs="TimesNewRomanPSMT"/>
          <w:sz w:val="24"/>
          <w:szCs w:val="24"/>
        </w:rPr>
        <w:t xml:space="preserve">y tiene un efecto sumamente complementario con otros </w:t>
      </w:r>
      <w:r w:rsidR="000C262D" w:rsidRPr="00F446F7">
        <w:rPr>
          <w:rFonts w:cs="TimesNewRomanPSMT"/>
          <w:sz w:val="24"/>
          <w:szCs w:val="24"/>
        </w:rPr>
        <w:t>factores de producción esenciales</w:t>
      </w:r>
      <w:r w:rsidR="006C74B7" w:rsidRPr="00F446F7">
        <w:rPr>
          <w:rFonts w:cs="TimesNewRomanPSMT"/>
          <w:sz w:val="24"/>
          <w:szCs w:val="24"/>
        </w:rPr>
        <w:t>.</w:t>
      </w:r>
    </w:p>
    <w:p w:rsidR="006C74B7" w:rsidRPr="00F446F7" w:rsidRDefault="00803990" w:rsidP="00F446F7">
      <w:pPr>
        <w:autoSpaceDE w:val="0"/>
        <w:autoSpaceDN w:val="0"/>
        <w:adjustRightInd w:val="0"/>
        <w:spacing w:after="0" w:line="240" w:lineRule="auto"/>
        <w:jc w:val="both"/>
        <w:rPr>
          <w:rFonts w:cs="Swiss721BT-Light"/>
          <w:color w:val="000000" w:themeColor="text1"/>
          <w:sz w:val="24"/>
          <w:szCs w:val="24"/>
        </w:rPr>
      </w:pPr>
      <w:r>
        <w:rPr>
          <w:rFonts w:cs="Swiss721BT-Light"/>
          <w:color w:val="000000" w:themeColor="text1"/>
          <w:sz w:val="24"/>
          <w:szCs w:val="24"/>
        </w:rPr>
        <w:t>Una</w:t>
      </w:r>
      <w:r w:rsidR="000C262D" w:rsidRPr="00F446F7">
        <w:rPr>
          <w:rFonts w:cs="Swiss721BT-Light"/>
          <w:color w:val="000000" w:themeColor="text1"/>
          <w:sz w:val="24"/>
          <w:szCs w:val="24"/>
        </w:rPr>
        <w:t xml:space="preserve"> consecuencia de la crisis económica, </w:t>
      </w:r>
      <w:r>
        <w:rPr>
          <w:rFonts w:cs="Swiss721BT-Light"/>
          <w:color w:val="000000" w:themeColor="text1"/>
          <w:sz w:val="24"/>
          <w:szCs w:val="24"/>
        </w:rPr>
        <w:t xml:space="preserve">ha sido </w:t>
      </w:r>
      <w:r w:rsidR="000C262D" w:rsidRPr="00F446F7">
        <w:rPr>
          <w:rFonts w:cs="Swiss721BT-Light"/>
          <w:color w:val="000000" w:themeColor="text1"/>
          <w:sz w:val="24"/>
          <w:szCs w:val="24"/>
        </w:rPr>
        <w:t>la importante reducción de capital públic</w:t>
      </w:r>
      <w:r>
        <w:rPr>
          <w:rFonts w:cs="Swiss721BT-Light"/>
          <w:color w:val="000000" w:themeColor="text1"/>
          <w:sz w:val="24"/>
          <w:szCs w:val="24"/>
        </w:rPr>
        <w:t>o, tanto en proporción del PIB</w:t>
      </w:r>
      <w:r w:rsidR="000C262D" w:rsidRPr="00F446F7">
        <w:rPr>
          <w:rFonts w:cs="Swiss721BT-Light"/>
          <w:color w:val="000000" w:themeColor="text1"/>
          <w:sz w:val="24"/>
          <w:szCs w:val="24"/>
        </w:rPr>
        <w:t xml:space="preserve"> como en valor relativo presupuest</w:t>
      </w:r>
      <w:r>
        <w:rPr>
          <w:rFonts w:cs="Swiss721BT-Light"/>
          <w:color w:val="000000" w:themeColor="text1"/>
          <w:sz w:val="24"/>
          <w:szCs w:val="24"/>
        </w:rPr>
        <w:t>ario</w:t>
      </w:r>
      <w:r w:rsidR="00DF30E1" w:rsidRPr="00F446F7">
        <w:rPr>
          <w:rFonts w:cs="Swiss721BT-Light"/>
          <w:color w:val="000000" w:themeColor="text1"/>
          <w:sz w:val="24"/>
          <w:szCs w:val="24"/>
        </w:rPr>
        <w:t xml:space="preserve">, </w:t>
      </w:r>
      <w:r>
        <w:rPr>
          <w:rFonts w:cs="Swiss721BT-Light"/>
          <w:color w:val="000000" w:themeColor="text1"/>
          <w:sz w:val="24"/>
          <w:szCs w:val="24"/>
        </w:rPr>
        <w:t xml:space="preserve">lo que </w:t>
      </w:r>
      <w:r w:rsidR="00DF30E1" w:rsidRPr="00F446F7">
        <w:rPr>
          <w:rFonts w:cs="Swiss721BT-Light"/>
          <w:color w:val="000000" w:themeColor="text1"/>
          <w:sz w:val="24"/>
          <w:szCs w:val="24"/>
        </w:rPr>
        <w:t>ha generado notables déficits en el suministro de infraestructuras en las economías de la Unión Europea</w:t>
      </w:r>
      <w:r w:rsidR="00E17F6D" w:rsidRPr="00F446F7">
        <w:rPr>
          <w:rFonts w:cs="Swiss721BT-Light"/>
          <w:color w:val="000000" w:themeColor="text1"/>
          <w:sz w:val="24"/>
          <w:szCs w:val="24"/>
        </w:rPr>
        <w:t>.</w:t>
      </w:r>
    </w:p>
    <w:p w:rsidR="00E17F6D" w:rsidRPr="00F446F7" w:rsidRDefault="00E17F6D" w:rsidP="00F446F7">
      <w:pPr>
        <w:autoSpaceDE w:val="0"/>
        <w:autoSpaceDN w:val="0"/>
        <w:adjustRightInd w:val="0"/>
        <w:spacing w:after="0" w:line="240" w:lineRule="auto"/>
        <w:jc w:val="both"/>
        <w:rPr>
          <w:rFonts w:cs="Swiss721BT-Light"/>
          <w:color w:val="000000" w:themeColor="text1"/>
          <w:sz w:val="24"/>
          <w:szCs w:val="24"/>
        </w:rPr>
      </w:pPr>
      <w:r w:rsidRPr="00F446F7">
        <w:rPr>
          <w:rFonts w:cs="Swiss721BT-Light"/>
          <w:color w:val="000000" w:themeColor="text1"/>
          <w:sz w:val="24"/>
          <w:szCs w:val="24"/>
        </w:rPr>
        <w:t xml:space="preserve">En nuestro </w:t>
      </w:r>
      <w:r w:rsidR="00803990">
        <w:rPr>
          <w:rFonts w:cs="Swiss721BT-Light"/>
          <w:color w:val="000000" w:themeColor="text1"/>
          <w:sz w:val="24"/>
          <w:szCs w:val="24"/>
        </w:rPr>
        <w:t>P</w:t>
      </w:r>
      <w:r w:rsidRPr="00F446F7">
        <w:rPr>
          <w:rFonts w:cs="Swiss721BT-Light"/>
          <w:color w:val="000000" w:themeColor="text1"/>
          <w:sz w:val="24"/>
          <w:szCs w:val="24"/>
        </w:rPr>
        <w:t>aís, y en particular en el sector sanitario, esta contracción en la inversión real de infraestructuras pú</w:t>
      </w:r>
      <w:r w:rsidR="00076D96" w:rsidRPr="00F446F7">
        <w:rPr>
          <w:rFonts w:cs="Swiss721BT-Light"/>
          <w:color w:val="000000" w:themeColor="text1"/>
          <w:sz w:val="24"/>
          <w:szCs w:val="24"/>
        </w:rPr>
        <w:t xml:space="preserve">blicas, </w:t>
      </w:r>
      <w:r w:rsidR="00803990">
        <w:rPr>
          <w:rFonts w:cs="Swiss721BT-Light"/>
          <w:color w:val="000000" w:themeColor="text1"/>
          <w:sz w:val="24"/>
          <w:szCs w:val="24"/>
        </w:rPr>
        <w:t>deberá reconsiderarse con una nueva</w:t>
      </w:r>
      <w:r w:rsidR="00076D96" w:rsidRPr="00F446F7">
        <w:rPr>
          <w:rFonts w:cs="Swiss721BT-Light"/>
          <w:color w:val="000000" w:themeColor="text1"/>
          <w:sz w:val="24"/>
          <w:szCs w:val="24"/>
        </w:rPr>
        <w:t xml:space="preserve"> política de capitalización</w:t>
      </w:r>
      <w:r w:rsidR="007A1788" w:rsidRPr="00F446F7">
        <w:rPr>
          <w:rFonts w:cs="Swiss721BT-Light"/>
          <w:color w:val="000000" w:themeColor="text1"/>
          <w:sz w:val="24"/>
          <w:szCs w:val="24"/>
        </w:rPr>
        <w:t xml:space="preserve"> con proyectos financiados </w:t>
      </w:r>
      <w:r w:rsidR="00803990">
        <w:rPr>
          <w:rFonts w:cs="Swiss721BT-Light"/>
          <w:color w:val="000000" w:themeColor="text1"/>
          <w:sz w:val="24"/>
          <w:szCs w:val="24"/>
        </w:rPr>
        <w:t xml:space="preserve">mediante </w:t>
      </w:r>
      <w:r w:rsidR="007A1788" w:rsidRPr="00F446F7">
        <w:rPr>
          <w:rFonts w:cs="Swiss721BT-Light"/>
          <w:color w:val="000000" w:themeColor="text1"/>
          <w:sz w:val="24"/>
          <w:szCs w:val="24"/>
        </w:rPr>
        <w:t>endeudamiento público</w:t>
      </w:r>
      <w:r w:rsidR="00076D96" w:rsidRPr="00F446F7">
        <w:rPr>
          <w:rFonts w:cs="Swiss721BT-Light"/>
          <w:color w:val="000000" w:themeColor="text1"/>
          <w:sz w:val="24"/>
          <w:szCs w:val="24"/>
        </w:rPr>
        <w:t>,</w:t>
      </w:r>
      <w:r w:rsidR="006861BE" w:rsidRPr="00F446F7">
        <w:rPr>
          <w:rFonts w:cs="Swiss721BT-Light"/>
          <w:color w:val="000000" w:themeColor="text1"/>
          <w:sz w:val="24"/>
          <w:szCs w:val="24"/>
        </w:rPr>
        <w:t xml:space="preserve"> sin provocar aumentos en la relación deuda/PIB,</w:t>
      </w:r>
      <w:r w:rsidR="00076D96" w:rsidRPr="00F446F7">
        <w:rPr>
          <w:rFonts w:cs="Swiss721BT-Light"/>
          <w:color w:val="000000" w:themeColor="text1"/>
          <w:sz w:val="24"/>
          <w:szCs w:val="24"/>
        </w:rPr>
        <w:t xml:space="preserve"> dada la perspectiva de cambio en las condiciones macroeconómicas y conociendo además,</w:t>
      </w:r>
      <w:r w:rsidR="00076D96" w:rsidRPr="00F446F7">
        <w:rPr>
          <w:rFonts w:cs="TimesNewRomanPS-BoldMT"/>
          <w:bCs/>
          <w:sz w:val="24"/>
          <w:szCs w:val="24"/>
        </w:rPr>
        <w:t xml:space="preserve"> que el aumento de la inversión en infraestructura pública eleva el producto a corto plazo al estimular la demanda interna, y a largo plazo al incrementar la oferta agregada</w:t>
      </w:r>
      <w:r w:rsidR="00076D96" w:rsidRPr="00F446F7">
        <w:rPr>
          <w:rFonts w:cs="TimesNewRomanPSMT"/>
          <w:sz w:val="24"/>
          <w:szCs w:val="24"/>
        </w:rPr>
        <w:t>.</w:t>
      </w:r>
      <w:r w:rsidR="00076D96" w:rsidRPr="00F446F7">
        <w:rPr>
          <w:rFonts w:cs="Swiss721BT-Light"/>
          <w:color w:val="000000" w:themeColor="text1"/>
          <w:sz w:val="24"/>
          <w:szCs w:val="24"/>
        </w:rPr>
        <w:t xml:space="preserve"> </w:t>
      </w:r>
      <w:r w:rsidR="00A523BD" w:rsidRPr="00F446F7">
        <w:rPr>
          <w:rFonts w:cs="Swiss721BT-Light"/>
          <w:color w:val="000000" w:themeColor="text1"/>
          <w:sz w:val="24"/>
          <w:szCs w:val="24"/>
        </w:rPr>
        <w:t>Porque  sabemos que un aumento en  la inversión pública de un punto porcentual del PIB eleva el producto en alrededor de 0,4% en el mismo año y 1,5% al cabo de cuatro años (cálculos del personal técnico del FMI).</w:t>
      </w:r>
    </w:p>
    <w:p w:rsidR="006C74B7" w:rsidRPr="00F446F7" w:rsidRDefault="00A523BD" w:rsidP="00F446F7">
      <w:pPr>
        <w:autoSpaceDE w:val="0"/>
        <w:autoSpaceDN w:val="0"/>
        <w:adjustRightInd w:val="0"/>
        <w:spacing w:after="0" w:line="240" w:lineRule="auto"/>
        <w:jc w:val="both"/>
        <w:rPr>
          <w:rFonts w:cs="Swiss721BT-Light"/>
          <w:color w:val="000000" w:themeColor="text1"/>
          <w:sz w:val="24"/>
          <w:szCs w:val="24"/>
        </w:rPr>
      </w:pPr>
      <w:r w:rsidRPr="00F446F7">
        <w:rPr>
          <w:rFonts w:cs="Swiss721BT-Light"/>
          <w:color w:val="000000" w:themeColor="text1"/>
          <w:sz w:val="24"/>
          <w:szCs w:val="24"/>
        </w:rPr>
        <w:t xml:space="preserve"> Es preciso por tanto llevar a cabo inversiones públicas eficientes, mejorando la evaluación, selección y ejecución de los proyectos de infraestructuras, además de </w:t>
      </w:r>
      <w:r w:rsidR="00803990">
        <w:rPr>
          <w:rFonts w:cs="Swiss721BT-Light"/>
          <w:color w:val="000000" w:themeColor="text1"/>
          <w:sz w:val="24"/>
          <w:szCs w:val="24"/>
        </w:rPr>
        <w:t xml:space="preserve">garantizar </w:t>
      </w:r>
      <w:r w:rsidRPr="00F446F7">
        <w:rPr>
          <w:rFonts w:cs="Swiss721BT-Light"/>
          <w:color w:val="000000" w:themeColor="text1"/>
          <w:sz w:val="24"/>
          <w:szCs w:val="24"/>
        </w:rPr>
        <w:t>análisis rigurosos de costes y beneficios que contribuyan a enriquecer el capital público al servicio de la sociedad.</w:t>
      </w:r>
    </w:p>
    <w:p w:rsidR="005C08A4" w:rsidRPr="00F446F7" w:rsidRDefault="005C08A4"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Desde el año 2010, el proceso de devaluación interna en nuestra economía ha generado una reducción de los costes laborales y un incremento notable de los beneficios empresariales.</w:t>
      </w:r>
      <w:r w:rsidR="00803990">
        <w:rPr>
          <w:rFonts w:asciiTheme="minorHAnsi" w:hAnsiTheme="minorHAnsi"/>
          <w:color w:val="000000" w:themeColor="text1"/>
          <w:sz w:val="24"/>
          <w:szCs w:val="24"/>
        </w:rPr>
        <w:t xml:space="preserve"> En suma, deflación salarial y ratios de crecimiento del capital y patrimonio privado.</w:t>
      </w:r>
    </w:p>
    <w:p w:rsidR="006C74B7" w:rsidRPr="00F446F7" w:rsidRDefault="005C08A4"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En este último periodo, las actividades  de inversión de las sociedades no financieras se han reactivado en razón a los bajos costes de los factores de producción (mano de obra y capital, principalmente), con rentabilidades incluso superiores al 8-9%, y cuya incidencia en el sector sanitario ha sido notable a través de las sociedades concesionarias</w:t>
      </w:r>
      <w:r w:rsidR="006D190A">
        <w:rPr>
          <w:rFonts w:asciiTheme="minorHAnsi" w:hAnsiTheme="minorHAnsi"/>
          <w:color w:val="000000" w:themeColor="text1"/>
          <w:sz w:val="24"/>
          <w:szCs w:val="24"/>
        </w:rPr>
        <w:t xml:space="preserve"> y de otras instituciones económicas</w:t>
      </w:r>
      <w:r w:rsidRPr="00F446F7">
        <w:rPr>
          <w:rFonts w:asciiTheme="minorHAnsi" w:hAnsiTheme="minorHAnsi"/>
          <w:color w:val="000000" w:themeColor="text1"/>
          <w:sz w:val="24"/>
          <w:szCs w:val="24"/>
        </w:rPr>
        <w:t>.</w:t>
      </w:r>
    </w:p>
    <w:p w:rsidR="00D265CD" w:rsidRPr="00F446F7" w:rsidRDefault="005C08A4" w:rsidP="00F446F7">
      <w:pPr>
        <w:autoSpaceDE w:val="0"/>
        <w:autoSpaceDN w:val="0"/>
        <w:adjustRightInd w:val="0"/>
        <w:spacing w:after="0" w:line="240" w:lineRule="auto"/>
        <w:jc w:val="both"/>
        <w:rPr>
          <w:rFonts w:cs="Swiss721BT-Light"/>
          <w:color w:val="000000" w:themeColor="text1"/>
          <w:sz w:val="24"/>
          <w:szCs w:val="24"/>
        </w:rPr>
      </w:pPr>
      <w:r w:rsidRPr="00F446F7">
        <w:rPr>
          <w:rFonts w:cs="Swiss721BT-Light"/>
          <w:color w:val="000000" w:themeColor="text1"/>
          <w:sz w:val="24"/>
          <w:szCs w:val="24"/>
        </w:rPr>
        <w:t xml:space="preserve">Desde esta perspectiva,  y </w:t>
      </w:r>
      <w:r w:rsidR="00D265CD" w:rsidRPr="00F446F7">
        <w:rPr>
          <w:rFonts w:cs="Swiss721BT-Light"/>
          <w:color w:val="000000" w:themeColor="text1"/>
          <w:sz w:val="24"/>
          <w:szCs w:val="24"/>
        </w:rPr>
        <w:t xml:space="preserve">en términos </w:t>
      </w:r>
      <w:r w:rsidRPr="00F446F7">
        <w:rPr>
          <w:rFonts w:cs="Swiss721BT-Light"/>
          <w:color w:val="000000" w:themeColor="text1"/>
          <w:sz w:val="24"/>
          <w:szCs w:val="24"/>
        </w:rPr>
        <w:t>conceptuales</w:t>
      </w:r>
      <w:r w:rsidR="00D265CD" w:rsidRPr="00F446F7">
        <w:rPr>
          <w:rFonts w:cs="Swiss721BT-Light"/>
          <w:color w:val="000000" w:themeColor="text1"/>
          <w:sz w:val="24"/>
          <w:szCs w:val="24"/>
        </w:rPr>
        <w:t xml:space="preserve"> (existen algunas variantes) la concesión de obra  (construcción, mantenimiento y equipamiento básico) y explotación/prestación de servicios y actividades no sanitarias, representa el Sistema </w:t>
      </w:r>
      <w:r w:rsidR="00D265CD" w:rsidRPr="00F446F7">
        <w:rPr>
          <w:rFonts w:cs="Swiss721BT-Light"/>
          <w:color w:val="000000" w:themeColor="text1"/>
          <w:sz w:val="24"/>
          <w:szCs w:val="24"/>
        </w:rPr>
        <w:lastRenderedPageBreak/>
        <w:t>Equivalente Español cuyo referente anglosajón es el PFI (Inic</w:t>
      </w:r>
      <w:r w:rsidR="00230D0A" w:rsidRPr="00F446F7">
        <w:rPr>
          <w:rFonts w:cs="Swiss721BT-Light"/>
          <w:color w:val="000000" w:themeColor="text1"/>
          <w:sz w:val="24"/>
          <w:szCs w:val="24"/>
        </w:rPr>
        <w:t>iativa de Financiación Privada), dentro  de los denominados Modelos de Colaboración Público-Privada</w:t>
      </w:r>
      <w:r w:rsidR="00F674A8" w:rsidRPr="00F446F7">
        <w:rPr>
          <w:rFonts w:cs="Swiss721BT-Light"/>
          <w:color w:val="000000" w:themeColor="text1"/>
          <w:sz w:val="24"/>
          <w:szCs w:val="24"/>
        </w:rPr>
        <w:t xml:space="preserve"> (</w:t>
      </w:r>
      <w:proofErr w:type="spellStart"/>
      <w:r w:rsidR="00F674A8" w:rsidRPr="00F446F7">
        <w:rPr>
          <w:rFonts w:cs="Swiss721BT-Light"/>
          <w:color w:val="000000" w:themeColor="text1"/>
          <w:sz w:val="24"/>
          <w:szCs w:val="24"/>
        </w:rPr>
        <w:t>CPPs</w:t>
      </w:r>
      <w:proofErr w:type="spellEnd"/>
      <w:r w:rsidR="00F674A8" w:rsidRPr="00F446F7">
        <w:rPr>
          <w:rFonts w:cs="Swiss721BT-Light"/>
          <w:color w:val="000000" w:themeColor="text1"/>
          <w:sz w:val="24"/>
          <w:szCs w:val="24"/>
        </w:rPr>
        <w:t>)</w:t>
      </w:r>
      <w:r w:rsidR="00230D0A" w:rsidRPr="00F446F7">
        <w:rPr>
          <w:rFonts w:cs="Swiss721BT-Light"/>
          <w:color w:val="000000" w:themeColor="text1"/>
          <w:sz w:val="24"/>
          <w:szCs w:val="24"/>
        </w:rPr>
        <w:t>.</w:t>
      </w:r>
    </w:p>
    <w:p w:rsidR="008375AE" w:rsidRPr="00F446F7" w:rsidRDefault="003C0B89"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Dos de los argumentos  más significativos que exponen los propagandistas  de</w:t>
      </w:r>
      <w:r w:rsidR="006D190A">
        <w:rPr>
          <w:rFonts w:asciiTheme="minorHAnsi" w:hAnsiTheme="minorHAnsi"/>
          <w:color w:val="000000" w:themeColor="text1"/>
          <w:sz w:val="24"/>
          <w:szCs w:val="24"/>
        </w:rPr>
        <w:t xml:space="preserve"> estos </w:t>
      </w:r>
      <w:r w:rsidRPr="00F446F7">
        <w:rPr>
          <w:rFonts w:asciiTheme="minorHAnsi" w:hAnsiTheme="minorHAnsi"/>
          <w:color w:val="000000" w:themeColor="text1"/>
          <w:sz w:val="24"/>
          <w:szCs w:val="24"/>
        </w:rPr>
        <w:t xml:space="preserve"> modelos PFI como ventajosos son</w:t>
      </w:r>
      <w:r w:rsidR="003C0D44"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w:t>
      </w:r>
      <w:r w:rsidRPr="006D190A">
        <w:rPr>
          <w:rFonts w:asciiTheme="minorHAnsi" w:hAnsiTheme="minorHAnsi"/>
          <w:color w:val="000000" w:themeColor="text1"/>
          <w:sz w:val="24"/>
          <w:szCs w:val="24"/>
        </w:rPr>
        <w:t>en primer lugar</w:t>
      </w:r>
      <w:r w:rsidRPr="00F446F7">
        <w:rPr>
          <w:rFonts w:asciiTheme="minorHAnsi" w:hAnsiTheme="minorHAnsi"/>
          <w:color w:val="000000" w:themeColor="text1"/>
          <w:sz w:val="24"/>
          <w:szCs w:val="24"/>
        </w:rPr>
        <w:t>, que la inversión bajo</w:t>
      </w:r>
      <w:r w:rsidR="00D873E1" w:rsidRPr="00F446F7">
        <w:rPr>
          <w:rFonts w:asciiTheme="minorHAnsi" w:hAnsiTheme="minorHAnsi"/>
          <w:color w:val="000000" w:themeColor="text1"/>
          <w:sz w:val="24"/>
          <w:szCs w:val="24"/>
        </w:rPr>
        <w:t xml:space="preserve"> el </w:t>
      </w:r>
      <w:r w:rsidRPr="00F446F7">
        <w:rPr>
          <w:rFonts w:asciiTheme="minorHAnsi" w:hAnsiTheme="minorHAnsi"/>
          <w:color w:val="000000" w:themeColor="text1"/>
          <w:sz w:val="24"/>
          <w:szCs w:val="24"/>
        </w:rPr>
        <w:t xml:space="preserve">sistema concesional no computa como deuda pública (elude formalmente la contabilización de este gasto/inversión al quedar fuera del balance de la Administración -Protocolo de los Acuerdos de Estabilidad y Consolidación Fiscal </w:t>
      </w:r>
      <w:r w:rsidR="0034632B" w:rsidRPr="00F446F7">
        <w:rPr>
          <w:rFonts w:asciiTheme="minorHAnsi" w:hAnsiTheme="minorHAnsi"/>
          <w:color w:val="000000" w:themeColor="text1"/>
          <w:sz w:val="24"/>
          <w:szCs w:val="24"/>
        </w:rPr>
        <w:t xml:space="preserve"> de la</w:t>
      </w:r>
      <w:r w:rsidR="003C0D44" w:rsidRPr="00F446F7">
        <w:rPr>
          <w:rFonts w:asciiTheme="minorHAnsi" w:hAnsiTheme="minorHAnsi"/>
          <w:color w:val="000000" w:themeColor="text1"/>
          <w:sz w:val="24"/>
          <w:szCs w:val="24"/>
        </w:rPr>
        <w:t xml:space="preserve"> Comisión Europea (</w:t>
      </w:r>
      <w:r w:rsidR="0034632B" w:rsidRPr="00F446F7">
        <w:rPr>
          <w:rFonts w:asciiTheme="minorHAnsi" w:hAnsiTheme="minorHAnsi"/>
          <w:color w:val="000000" w:themeColor="text1"/>
          <w:sz w:val="24"/>
          <w:szCs w:val="24"/>
        </w:rPr>
        <w:t>CE</w:t>
      </w:r>
      <w:r w:rsidR="003C0D44" w:rsidRPr="00F446F7">
        <w:rPr>
          <w:rFonts w:asciiTheme="minorHAnsi" w:hAnsiTheme="minorHAnsi"/>
          <w:color w:val="000000" w:themeColor="text1"/>
          <w:sz w:val="24"/>
          <w:szCs w:val="24"/>
        </w:rPr>
        <w:t>)</w:t>
      </w:r>
      <w:r w:rsidR="0034632B" w:rsidRPr="00F446F7">
        <w:rPr>
          <w:rFonts w:asciiTheme="minorHAnsi" w:hAnsiTheme="minorHAnsi"/>
          <w:color w:val="000000" w:themeColor="text1"/>
          <w:sz w:val="24"/>
          <w:szCs w:val="24"/>
        </w:rPr>
        <w:t xml:space="preserve"> y </w:t>
      </w:r>
      <w:r w:rsidR="003C0D44" w:rsidRPr="00F446F7">
        <w:rPr>
          <w:rFonts w:asciiTheme="minorHAnsi" w:hAnsiTheme="minorHAnsi"/>
          <w:color w:val="000000" w:themeColor="text1"/>
          <w:sz w:val="24"/>
          <w:szCs w:val="24"/>
        </w:rPr>
        <w:t>d</w:t>
      </w:r>
      <w:r w:rsidRPr="00F446F7">
        <w:rPr>
          <w:rFonts w:asciiTheme="minorHAnsi" w:hAnsiTheme="minorHAnsi"/>
          <w:color w:val="000000" w:themeColor="text1"/>
          <w:sz w:val="24"/>
          <w:szCs w:val="24"/>
        </w:rPr>
        <w:t>el Sistema Europeo de Cuentas Publicas-)</w:t>
      </w:r>
      <w:r w:rsidR="0034632B"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y </w:t>
      </w:r>
      <w:r w:rsidRPr="006D190A">
        <w:rPr>
          <w:rFonts w:asciiTheme="minorHAnsi" w:hAnsiTheme="minorHAnsi"/>
          <w:color w:val="000000" w:themeColor="text1"/>
          <w:sz w:val="24"/>
          <w:szCs w:val="24"/>
        </w:rPr>
        <w:t>en segundo lugar</w:t>
      </w:r>
      <w:r w:rsidRPr="00F446F7">
        <w:rPr>
          <w:rFonts w:asciiTheme="minorHAnsi" w:hAnsiTheme="minorHAnsi"/>
          <w:color w:val="000000" w:themeColor="text1"/>
          <w:sz w:val="24"/>
          <w:szCs w:val="24"/>
        </w:rPr>
        <w:t xml:space="preserve">, la celeridad  del proceso de tramitación administrativa y ejecución del proyecto. Además, refieren </w:t>
      </w:r>
      <w:r w:rsidR="00D873E1" w:rsidRPr="00F446F7">
        <w:rPr>
          <w:rFonts w:asciiTheme="minorHAnsi" w:hAnsiTheme="minorHAnsi"/>
          <w:color w:val="000000" w:themeColor="text1"/>
          <w:sz w:val="24"/>
          <w:szCs w:val="24"/>
        </w:rPr>
        <w:t xml:space="preserve"> en su fundamentación de ventajas técnicas </w:t>
      </w:r>
      <w:r w:rsidR="006861BE" w:rsidRPr="00F446F7">
        <w:rPr>
          <w:rFonts w:asciiTheme="minorHAnsi" w:hAnsiTheme="minorHAnsi"/>
          <w:color w:val="000000" w:themeColor="text1"/>
          <w:sz w:val="24"/>
          <w:szCs w:val="24"/>
        </w:rPr>
        <w:t xml:space="preserve"> y </w:t>
      </w:r>
      <w:r w:rsidR="00D873E1" w:rsidRPr="00F446F7">
        <w:rPr>
          <w:rFonts w:asciiTheme="minorHAnsi" w:hAnsiTheme="minorHAnsi"/>
          <w:color w:val="000000" w:themeColor="text1"/>
          <w:sz w:val="24"/>
          <w:szCs w:val="24"/>
        </w:rPr>
        <w:t xml:space="preserve">operativas, </w:t>
      </w:r>
      <w:r w:rsidRPr="00F446F7">
        <w:rPr>
          <w:rFonts w:asciiTheme="minorHAnsi" w:hAnsiTheme="minorHAnsi"/>
          <w:color w:val="000000" w:themeColor="text1"/>
          <w:sz w:val="24"/>
          <w:szCs w:val="24"/>
        </w:rPr>
        <w:t xml:space="preserve">que </w:t>
      </w:r>
      <w:r w:rsidR="0034632B" w:rsidRPr="00F446F7">
        <w:rPr>
          <w:rFonts w:asciiTheme="minorHAnsi" w:hAnsiTheme="minorHAnsi"/>
          <w:color w:val="000000" w:themeColor="text1"/>
          <w:sz w:val="24"/>
          <w:szCs w:val="24"/>
        </w:rPr>
        <w:t>la rentabilidad del proyecto (T</w:t>
      </w:r>
      <w:r w:rsidR="0016130D" w:rsidRPr="00F446F7">
        <w:rPr>
          <w:rFonts w:asciiTheme="minorHAnsi" w:hAnsiTheme="minorHAnsi"/>
          <w:color w:val="000000" w:themeColor="text1"/>
          <w:sz w:val="24"/>
          <w:szCs w:val="24"/>
        </w:rPr>
        <w:t xml:space="preserve">asa Interna de </w:t>
      </w:r>
      <w:r w:rsidR="003C0D44" w:rsidRPr="00F446F7">
        <w:rPr>
          <w:rFonts w:asciiTheme="minorHAnsi" w:hAnsiTheme="minorHAnsi"/>
          <w:color w:val="000000" w:themeColor="text1"/>
          <w:sz w:val="24"/>
          <w:szCs w:val="24"/>
        </w:rPr>
        <w:t>R</w:t>
      </w:r>
      <w:r w:rsidR="0016130D" w:rsidRPr="00F446F7">
        <w:rPr>
          <w:rFonts w:asciiTheme="minorHAnsi" w:hAnsiTheme="minorHAnsi"/>
          <w:color w:val="000000" w:themeColor="text1"/>
          <w:sz w:val="24"/>
          <w:szCs w:val="24"/>
        </w:rPr>
        <w:t>etorno –T</w:t>
      </w:r>
      <w:r w:rsidR="0034632B" w:rsidRPr="00F446F7">
        <w:rPr>
          <w:rFonts w:asciiTheme="minorHAnsi" w:hAnsiTheme="minorHAnsi"/>
          <w:color w:val="000000" w:themeColor="text1"/>
          <w:sz w:val="24"/>
          <w:szCs w:val="24"/>
        </w:rPr>
        <w:t>IR</w:t>
      </w:r>
      <w:r w:rsidR="0016130D" w:rsidRPr="00F446F7">
        <w:rPr>
          <w:rFonts w:asciiTheme="minorHAnsi" w:hAnsiTheme="minorHAnsi"/>
          <w:color w:val="000000" w:themeColor="text1"/>
          <w:sz w:val="24"/>
          <w:szCs w:val="24"/>
        </w:rPr>
        <w:t>-</w:t>
      </w:r>
      <w:r w:rsidR="0034632B" w:rsidRPr="00F446F7">
        <w:rPr>
          <w:rFonts w:asciiTheme="minorHAnsi" w:hAnsiTheme="minorHAnsi"/>
          <w:color w:val="000000" w:themeColor="text1"/>
          <w:sz w:val="24"/>
          <w:szCs w:val="24"/>
        </w:rPr>
        <w:t>)</w:t>
      </w:r>
      <w:r w:rsidR="003A44E0" w:rsidRPr="00F446F7">
        <w:rPr>
          <w:rStyle w:val="Refdenotaalpie"/>
          <w:rFonts w:asciiTheme="minorHAnsi" w:hAnsiTheme="minorHAnsi"/>
          <w:color w:val="000000" w:themeColor="text1"/>
          <w:sz w:val="24"/>
          <w:szCs w:val="24"/>
        </w:rPr>
        <w:footnoteReference w:id="2"/>
      </w:r>
      <w:r w:rsidR="0034632B" w:rsidRPr="00F446F7">
        <w:rPr>
          <w:rFonts w:asciiTheme="minorHAnsi" w:hAnsiTheme="minorHAnsi"/>
          <w:color w:val="000000" w:themeColor="text1"/>
          <w:sz w:val="24"/>
          <w:szCs w:val="24"/>
        </w:rPr>
        <w:t xml:space="preserve"> </w:t>
      </w:r>
      <w:r w:rsidR="0016130D" w:rsidRPr="00F446F7">
        <w:rPr>
          <w:rFonts w:asciiTheme="minorHAnsi" w:hAnsiTheme="minorHAnsi"/>
          <w:color w:val="000000" w:themeColor="text1"/>
          <w:sz w:val="24"/>
          <w:szCs w:val="24"/>
        </w:rPr>
        <w:t xml:space="preserve">se ajusta al </w:t>
      </w:r>
      <w:r w:rsidR="0034632B" w:rsidRPr="00F446F7">
        <w:rPr>
          <w:rFonts w:asciiTheme="minorHAnsi" w:hAnsiTheme="minorHAnsi"/>
          <w:color w:val="000000" w:themeColor="text1"/>
          <w:sz w:val="24"/>
          <w:szCs w:val="24"/>
        </w:rPr>
        <w:t>riesgo financiero asumido,</w:t>
      </w:r>
      <w:r w:rsidR="006861BE" w:rsidRPr="00F446F7">
        <w:rPr>
          <w:rFonts w:asciiTheme="minorHAnsi" w:hAnsiTheme="minorHAnsi"/>
          <w:color w:val="000000" w:themeColor="text1"/>
          <w:sz w:val="24"/>
          <w:szCs w:val="24"/>
        </w:rPr>
        <w:t xml:space="preserve"> además de que </w:t>
      </w:r>
      <w:r w:rsidR="0034632B" w:rsidRPr="00F446F7">
        <w:rPr>
          <w:rFonts w:asciiTheme="minorHAnsi" w:hAnsiTheme="minorHAnsi"/>
          <w:color w:val="000000" w:themeColor="text1"/>
          <w:sz w:val="24"/>
          <w:szCs w:val="24"/>
        </w:rPr>
        <w:t xml:space="preserve"> ejecuta la inversión en presupuesto y plazo, </w:t>
      </w:r>
      <w:r w:rsidR="003C0D44" w:rsidRPr="00F446F7">
        <w:rPr>
          <w:rFonts w:asciiTheme="minorHAnsi" w:hAnsiTheme="minorHAnsi"/>
          <w:color w:val="000000" w:themeColor="text1"/>
          <w:sz w:val="24"/>
          <w:szCs w:val="24"/>
        </w:rPr>
        <w:t>e</w:t>
      </w:r>
      <w:r w:rsidR="008375AE" w:rsidRPr="00F446F7">
        <w:rPr>
          <w:rFonts w:asciiTheme="minorHAnsi" w:hAnsiTheme="minorHAnsi"/>
          <w:color w:val="000000" w:themeColor="text1"/>
          <w:sz w:val="24"/>
          <w:szCs w:val="24"/>
        </w:rPr>
        <w:t xml:space="preserve"> </w:t>
      </w:r>
      <w:r w:rsidR="0034632B" w:rsidRPr="00F446F7">
        <w:rPr>
          <w:rFonts w:asciiTheme="minorHAnsi" w:hAnsiTheme="minorHAnsi"/>
          <w:color w:val="000000" w:themeColor="text1"/>
          <w:sz w:val="24"/>
          <w:szCs w:val="24"/>
        </w:rPr>
        <w:t>innova en her</w:t>
      </w:r>
      <w:r w:rsidR="008375AE" w:rsidRPr="00F446F7">
        <w:rPr>
          <w:rFonts w:asciiTheme="minorHAnsi" w:hAnsiTheme="minorHAnsi"/>
          <w:color w:val="000000" w:themeColor="text1"/>
          <w:sz w:val="24"/>
          <w:szCs w:val="24"/>
        </w:rPr>
        <w:t xml:space="preserve">ramientas y </w:t>
      </w:r>
      <w:r w:rsidR="006861BE" w:rsidRPr="00F446F7">
        <w:rPr>
          <w:rFonts w:asciiTheme="minorHAnsi" w:hAnsiTheme="minorHAnsi"/>
          <w:color w:val="000000" w:themeColor="text1"/>
          <w:sz w:val="24"/>
          <w:szCs w:val="24"/>
        </w:rPr>
        <w:t>métodos</w:t>
      </w:r>
      <w:r w:rsidR="008375AE" w:rsidRPr="00F446F7">
        <w:rPr>
          <w:rFonts w:asciiTheme="minorHAnsi" w:hAnsiTheme="minorHAnsi"/>
          <w:color w:val="000000" w:themeColor="text1"/>
          <w:sz w:val="24"/>
          <w:szCs w:val="24"/>
        </w:rPr>
        <w:t xml:space="preserve"> de gestión. </w:t>
      </w:r>
    </w:p>
    <w:p w:rsidR="0001521D" w:rsidRPr="00F446F7" w:rsidRDefault="008375AE"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Pues bien, </w:t>
      </w:r>
      <w:r w:rsidR="003A44E0" w:rsidRPr="00F446F7">
        <w:rPr>
          <w:rFonts w:asciiTheme="minorHAnsi" w:hAnsiTheme="minorHAnsi"/>
          <w:color w:val="000000" w:themeColor="text1"/>
          <w:sz w:val="24"/>
          <w:szCs w:val="24"/>
        </w:rPr>
        <w:t xml:space="preserve">estos legítimos </w:t>
      </w:r>
      <w:r w:rsidRPr="00F446F7">
        <w:rPr>
          <w:rFonts w:asciiTheme="minorHAnsi" w:hAnsiTheme="minorHAnsi"/>
          <w:color w:val="000000" w:themeColor="text1"/>
          <w:sz w:val="24"/>
          <w:szCs w:val="24"/>
        </w:rPr>
        <w:t xml:space="preserve"> criterios no son suficientemente consistentes, y pueden ser razonablemente re</w:t>
      </w:r>
      <w:r w:rsidR="0001521D" w:rsidRPr="00F446F7">
        <w:rPr>
          <w:rFonts w:asciiTheme="minorHAnsi" w:hAnsiTheme="minorHAnsi"/>
          <w:color w:val="000000" w:themeColor="text1"/>
          <w:sz w:val="24"/>
          <w:szCs w:val="24"/>
        </w:rPr>
        <w:t>b</w:t>
      </w:r>
      <w:r w:rsidRPr="00F446F7">
        <w:rPr>
          <w:rFonts w:asciiTheme="minorHAnsi" w:hAnsiTheme="minorHAnsi"/>
          <w:color w:val="000000" w:themeColor="text1"/>
          <w:sz w:val="24"/>
          <w:szCs w:val="24"/>
        </w:rPr>
        <w:t>atidos</w:t>
      </w:r>
      <w:r w:rsidR="003A44E0" w:rsidRPr="00F446F7">
        <w:rPr>
          <w:rFonts w:asciiTheme="minorHAnsi" w:hAnsiTheme="minorHAnsi"/>
          <w:color w:val="000000" w:themeColor="text1"/>
          <w:sz w:val="24"/>
          <w:szCs w:val="24"/>
        </w:rPr>
        <w:t xml:space="preserve"> a la luz de la amplia experiencia  internacional y nacional que existe sobre esta tipología concesional de financiación privada de infraestructuras sanitarias públicas</w:t>
      </w:r>
      <w:r w:rsidR="0001521D" w:rsidRPr="00F446F7">
        <w:rPr>
          <w:rFonts w:asciiTheme="minorHAnsi" w:hAnsiTheme="minorHAnsi"/>
          <w:color w:val="000000" w:themeColor="text1"/>
          <w:sz w:val="24"/>
          <w:szCs w:val="24"/>
        </w:rPr>
        <w:t>:</w:t>
      </w:r>
    </w:p>
    <w:p w:rsidR="0001521D" w:rsidRPr="00F446F7" w:rsidRDefault="0001521D" w:rsidP="00F446F7">
      <w:pPr>
        <w:pStyle w:val="Textoindependiente3"/>
        <w:numPr>
          <w:ilvl w:val="0"/>
          <w:numId w:val="1"/>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Las partidas no contabilizadas como rúbricas de deuda pública acogiéndose al Protocolo Europeo de Estabilidad y Consolidación fiscal, así como al Sistema Europeo de Cuentas Públicas, no tienen la misma consideración para el FMI cuando este Organismo interviene en los “procesos de rescate” o de “salvamento” a países</w:t>
      </w:r>
      <w:r w:rsidR="006D190A">
        <w:rPr>
          <w:rFonts w:asciiTheme="minorHAnsi" w:hAnsiTheme="minorHAnsi"/>
          <w:color w:val="000000" w:themeColor="text1"/>
          <w:sz w:val="24"/>
          <w:szCs w:val="24"/>
        </w:rPr>
        <w:t xml:space="preserve"> denominados “</w:t>
      </w:r>
      <w:r w:rsidRPr="00F446F7">
        <w:rPr>
          <w:rFonts w:asciiTheme="minorHAnsi" w:hAnsiTheme="minorHAnsi"/>
          <w:color w:val="000000" w:themeColor="text1"/>
          <w:sz w:val="24"/>
          <w:szCs w:val="24"/>
        </w:rPr>
        <w:t>periféricos</w:t>
      </w:r>
      <w:r w:rsidR="006D190A">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w:t>
      </w:r>
      <w:r w:rsidR="006D190A">
        <w:rPr>
          <w:rFonts w:asciiTheme="minorHAnsi" w:hAnsiTheme="minorHAnsi"/>
          <w:color w:val="000000" w:themeColor="text1"/>
          <w:sz w:val="24"/>
          <w:szCs w:val="24"/>
        </w:rPr>
        <w:t>(</w:t>
      </w:r>
      <w:r w:rsidR="001D764E" w:rsidRPr="00F446F7">
        <w:rPr>
          <w:rFonts w:asciiTheme="minorHAnsi" w:hAnsiTheme="minorHAnsi"/>
          <w:color w:val="000000" w:themeColor="text1"/>
          <w:sz w:val="24"/>
          <w:szCs w:val="24"/>
        </w:rPr>
        <w:t xml:space="preserve">Grecia, Portugal, Malta e Irlanda) </w:t>
      </w:r>
      <w:r w:rsidRPr="00F446F7">
        <w:rPr>
          <w:rFonts w:asciiTheme="minorHAnsi" w:hAnsiTheme="minorHAnsi"/>
          <w:color w:val="000000" w:themeColor="text1"/>
          <w:sz w:val="24"/>
          <w:szCs w:val="24"/>
        </w:rPr>
        <w:t>de la Eurozona, junto con las Instituciones Comunitarias competentes</w:t>
      </w:r>
      <w:r w:rsidR="00D873E1" w:rsidRPr="00F446F7">
        <w:rPr>
          <w:rFonts w:asciiTheme="minorHAnsi" w:hAnsiTheme="minorHAnsi"/>
          <w:color w:val="000000" w:themeColor="text1"/>
          <w:sz w:val="24"/>
          <w:szCs w:val="24"/>
        </w:rPr>
        <w:t>; la denominada</w:t>
      </w:r>
      <w:r w:rsidR="006D190A">
        <w:rPr>
          <w:rFonts w:asciiTheme="minorHAnsi" w:hAnsiTheme="minorHAnsi"/>
          <w:color w:val="000000" w:themeColor="text1"/>
          <w:sz w:val="24"/>
          <w:szCs w:val="24"/>
        </w:rPr>
        <w:t xml:space="preserve"> troika </w:t>
      </w:r>
      <w:r w:rsidR="006D190A" w:rsidRPr="006D190A">
        <w:rPr>
          <w:rFonts w:asciiTheme="minorHAnsi" w:hAnsiTheme="minorHAnsi"/>
          <w:color w:val="000000" w:themeColor="text1"/>
          <w:sz w:val="24"/>
          <w:szCs w:val="24"/>
        </w:rPr>
        <w:t>(</w:t>
      </w:r>
      <w:r w:rsidR="006D190A" w:rsidRPr="006D190A">
        <w:rPr>
          <w:rFonts w:ascii="Trebuchet MS" w:hAnsi="Trebuchet MS"/>
          <w:bCs/>
          <w:sz w:val="20"/>
          <w:szCs w:val="20"/>
        </w:rPr>
        <w:t xml:space="preserve">Banco Central Europeo –BCE-, </w:t>
      </w:r>
      <w:r w:rsidR="006D190A" w:rsidRPr="006D190A">
        <w:rPr>
          <w:rFonts w:ascii="Trebuchet MS" w:hAnsi="Trebuchet MS"/>
          <w:sz w:val="20"/>
          <w:szCs w:val="20"/>
        </w:rPr>
        <w:t xml:space="preserve">el </w:t>
      </w:r>
      <w:r w:rsidR="006D190A" w:rsidRPr="006D190A">
        <w:rPr>
          <w:rFonts w:ascii="Trebuchet MS" w:hAnsi="Trebuchet MS"/>
          <w:bCs/>
          <w:sz w:val="20"/>
          <w:szCs w:val="20"/>
        </w:rPr>
        <w:t xml:space="preserve">Fondo Monetario Internacional –FMI- </w:t>
      </w:r>
      <w:r w:rsidR="006D190A" w:rsidRPr="006D190A">
        <w:rPr>
          <w:rFonts w:ascii="Trebuchet MS" w:hAnsi="Trebuchet MS"/>
          <w:sz w:val="20"/>
          <w:szCs w:val="20"/>
        </w:rPr>
        <w:t>y la</w:t>
      </w:r>
      <w:r w:rsidR="006D190A" w:rsidRPr="006D190A">
        <w:rPr>
          <w:rFonts w:ascii="Trebuchet MS" w:hAnsi="Trebuchet MS"/>
          <w:bCs/>
          <w:sz w:val="20"/>
          <w:szCs w:val="20"/>
        </w:rPr>
        <w:t xml:space="preserve"> Comisión Europea –CE-)</w:t>
      </w:r>
      <w:r w:rsidRPr="006D190A">
        <w:rPr>
          <w:rFonts w:asciiTheme="minorHAnsi" w:hAnsiTheme="minorHAnsi"/>
          <w:color w:val="000000" w:themeColor="text1"/>
          <w:sz w:val="24"/>
          <w:szCs w:val="24"/>
        </w:rPr>
        <w:t>.</w:t>
      </w:r>
    </w:p>
    <w:p w:rsidR="0001521D" w:rsidRPr="00F446F7" w:rsidRDefault="0001521D" w:rsidP="00F446F7">
      <w:pPr>
        <w:pStyle w:val="Textoindependiente3"/>
        <w:spacing w:after="120"/>
        <w:ind w:left="1068"/>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Como ha manifestado </w:t>
      </w:r>
      <w:proofErr w:type="spellStart"/>
      <w:r w:rsidRPr="00F446F7">
        <w:rPr>
          <w:rFonts w:asciiTheme="minorHAnsi" w:hAnsiTheme="minorHAnsi"/>
          <w:color w:val="000000" w:themeColor="text1"/>
          <w:sz w:val="24"/>
          <w:szCs w:val="24"/>
        </w:rPr>
        <w:t>Poul</w:t>
      </w:r>
      <w:proofErr w:type="spellEnd"/>
      <w:r w:rsidRPr="00F446F7">
        <w:rPr>
          <w:rFonts w:asciiTheme="minorHAnsi" w:hAnsiTheme="minorHAnsi"/>
          <w:color w:val="000000" w:themeColor="text1"/>
          <w:sz w:val="24"/>
          <w:szCs w:val="24"/>
        </w:rPr>
        <w:t xml:space="preserve">  </w:t>
      </w:r>
      <w:proofErr w:type="spellStart"/>
      <w:r w:rsidRPr="00F446F7">
        <w:rPr>
          <w:rFonts w:asciiTheme="minorHAnsi" w:hAnsiTheme="minorHAnsi"/>
          <w:color w:val="000000" w:themeColor="text1"/>
          <w:sz w:val="24"/>
          <w:szCs w:val="24"/>
        </w:rPr>
        <w:t>Thomsen</w:t>
      </w:r>
      <w:proofErr w:type="spellEnd"/>
      <w:r w:rsidRPr="00F446F7">
        <w:rPr>
          <w:rFonts w:asciiTheme="minorHAnsi" w:hAnsiTheme="minorHAnsi"/>
          <w:color w:val="000000" w:themeColor="text1"/>
          <w:sz w:val="24"/>
          <w:szCs w:val="24"/>
        </w:rPr>
        <w:t>, m</w:t>
      </w:r>
      <w:r w:rsidR="001D764E" w:rsidRPr="00F446F7">
        <w:rPr>
          <w:rFonts w:asciiTheme="minorHAnsi" w:hAnsiTheme="minorHAnsi"/>
          <w:color w:val="000000" w:themeColor="text1"/>
          <w:sz w:val="24"/>
          <w:szCs w:val="24"/>
        </w:rPr>
        <w:t>áximo representante del FMI en l</w:t>
      </w:r>
      <w:r w:rsidRPr="00F446F7">
        <w:rPr>
          <w:rFonts w:asciiTheme="minorHAnsi" w:hAnsiTheme="minorHAnsi"/>
          <w:color w:val="000000" w:themeColor="text1"/>
          <w:sz w:val="24"/>
          <w:szCs w:val="24"/>
        </w:rPr>
        <w:t xml:space="preserve">as negociaciones con la </w:t>
      </w:r>
      <w:r w:rsidR="00D873E1" w:rsidRPr="00F446F7">
        <w:rPr>
          <w:rFonts w:asciiTheme="minorHAnsi" w:hAnsiTheme="minorHAnsi"/>
          <w:color w:val="000000" w:themeColor="text1"/>
          <w:sz w:val="24"/>
          <w:szCs w:val="24"/>
        </w:rPr>
        <w:t>Comisión Europea (</w:t>
      </w:r>
      <w:r w:rsidR="001D764E" w:rsidRPr="00F446F7">
        <w:rPr>
          <w:rFonts w:asciiTheme="minorHAnsi" w:hAnsiTheme="minorHAnsi"/>
          <w:color w:val="000000" w:themeColor="text1"/>
          <w:sz w:val="24"/>
          <w:szCs w:val="24"/>
        </w:rPr>
        <w:t>C</w:t>
      </w:r>
      <w:r w:rsidRPr="00F446F7">
        <w:rPr>
          <w:rFonts w:asciiTheme="minorHAnsi" w:hAnsiTheme="minorHAnsi"/>
          <w:color w:val="000000" w:themeColor="text1"/>
          <w:sz w:val="24"/>
          <w:szCs w:val="24"/>
        </w:rPr>
        <w:t>E</w:t>
      </w:r>
      <w:r w:rsidR="00D873E1"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para analizar y estimar la calidad de la deuda soberana de estos países</w:t>
      </w:r>
      <w:r w:rsidR="006861BE" w:rsidRPr="00F446F7">
        <w:rPr>
          <w:rFonts w:asciiTheme="minorHAnsi" w:hAnsiTheme="minorHAnsi"/>
          <w:color w:val="000000" w:themeColor="text1"/>
          <w:sz w:val="24"/>
          <w:szCs w:val="24"/>
        </w:rPr>
        <w:t xml:space="preserve"> financieramente </w:t>
      </w:r>
      <w:r w:rsidR="006D190A">
        <w:rPr>
          <w:rFonts w:asciiTheme="minorHAnsi" w:hAnsiTheme="minorHAnsi"/>
          <w:color w:val="000000" w:themeColor="text1"/>
          <w:sz w:val="24"/>
          <w:szCs w:val="24"/>
        </w:rPr>
        <w:t>“</w:t>
      </w:r>
      <w:r w:rsidR="006861BE" w:rsidRPr="00F446F7">
        <w:rPr>
          <w:rFonts w:asciiTheme="minorHAnsi" w:hAnsiTheme="minorHAnsi"/>
          <w:color w:val="000000" w:themeColor="text1"/>
          <w:sz w:val="24"/>
          <w:szCs w:val="24"/>
        </w:rPr>
        <w:t>rescatad</w:t>
      </w:r>
      <w:r w:rsidR="006D190A">
        <w:rPr>
          <w:rFonts w:asciiTheme="minorHAnsi" w:hAnsiTheme="minorHAnsi"/>
          <w:color w:val="000000" w:themeColor="text1"/>
          <w:sz w:val="24"/>
          <w:szCs w:val="24"/>
        </w:rPr>
        <w:t>o</w:t>
      </w:r>
      <w:r w:rsidR="006861BE" w:rsidRPr="00F446F7">
        <w:rPr>
          <w:rFonts w:asciiTheme="minorHAnsi" w:hAnsiTheme="minorHAnsi"/>
          <w:color w:val="000000" w:themeColor="text1"/>
          <w:sz w:val="24"/>
          <w:szCs w:val="24"/>
        </w:rPr>
        <w:t>s</w:t>
      </w:r>
      <w:r w:rsidR="006D190A">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los proyectos </w:t>
      </w:r>
      <w:r w:rsidR="00DF0DE4" w:rsidRPr="00F446F7">
        <w:rPr>
          <w:rFonts w:asciiTheme="minorHAnsi" w:hAnsiTheme="minorHAnsi"/>
          <w:color w:val="000000" w:themeColor="text1"/>
          <w:sz w:val="24"/>
          <w:szCs w:val="24"/>
        </w:rPr>
        <w:t>PFI</w:t>
      </w:r>
      <w:r w:rsidRPr="00F446F7">
        <w:rPr>
          <w:rFonts w:asciiTheme="minorHAnsi" w:hAnsiTheme="minorHAnsi"/>
          <w:color w:val="000000" w:themeColor="text1"/>
          <w:sz w:val="24"/>
          <w:szCs w:val="24"/>
        </w:rPr>
        <w:t xml:space="preserve"> representan </w:t>
      </w:r>
      <w:r w:rsidR="00DF0DE4" w:rsidRPr="00F446F7">
        <w:rPr>
          <w:rFonts w:asciiTheme="minorHAnsi" w:hAnsiTheme="minorHAnsi"/>
          <w:color w:val="000000" w:themeColor="text1"/>
          <w:sz w:val="24"/>
          <w:szCs w:val="24"/>
        </w:rPr>
        <w:t xml:space="preserve">literalmente y </w:t>
      </w:r>
      <w:r w:rsidRPr="00F446F7">
        <w:rPr>
          <w:rFonts w:asciiTheme="minorHAnsi" w:hAnsiTheme="minorHAnsi"/>
          <w:color w:val="000000" w:themeColor="text1"/>
          <w:sz w:val="24"/>
          <w:szCs w:val="24"/>
        </w:rPr>
        <w:t>en sus propios términos un “agujero negro”</w:t>
      </w:r>
      <w:r w:rsidR="00DF0DE4" w:rsidRPr="00F446F7">
        <w:rPr>
          <w:rFonts w:asciiTheme="minorHAnsi" w:hAnsiTheme="minorHAnsi"/>
          <w:color w:val="000000" w:themeColor="text1"/>
          <w:sz w:val="24"/>
          <w:szCs w:val="24"/>
        </w:rPr>
        <w:t xml:space="preserve">, </w:t>
      </w:r>
      <w:r w:rsidRPr="00F446F7">
        <w:rPr>
          <w:rFonts w:asciiTheme="minorHAnsi" w:hAnsiTheme="minorHAnsi"/>
          <w:color w:val="000000" w:themeColor="text1"/>
          <w:sz w:val="24"/>
          <w:szCs w:val="24"/>
        </w:rPr>
        <w:t xml:space="preserve"> </w:t>
      </w:r>
      <w:r w:rsidR="00DF0DE4" w:rsidRPr="00F446F7">
        <w:rPr>
          <w:rFonts w:asciiTheme="minorHAnsi" w:hAnsiTheme="minorHAnsi"/>
          <w:color w:val="000000" w:themeColor="text1"/>
          <w:sz w:val="24"/>
          <w:szCs w:val="24"/>
        </w:rPr>
        <w:t xml:space="preserve">convirtiéndose </w:t>
      </w:r>
      <w:r w:rsidRPr="00F446F7">
        <w:rPr>
          <w:rFonts w:asciiTheme="minorHAnsi" w:hAnsiTheme="minorHAnsi"/>
          <w:color w:val="000000" w:themeColor="text1"/>
          <w:sz w:val="24"/>
          <w:szCs w:val="24"/>
        </w:rPr>
        <w:t xml:space="preserve"> en vehículos poco transparentes </w:t>
      </w:r>
      <w:r w:rsidR="00DF0DE4" w:rsidRPr="00F446F7">
        <w:rPr>
          <w:rFonts w:asciiTheme="minorHAnsi" w:hAnsiTheme="minorHAnsi"/>
          <w:color w:val="000000" w:themeColor="text1"/>
          <w:sz w:val="24"/>
          <w:szCs w:val="24"/>
        </w:rPr>
        <w:t>en los</w:t>
      </w:r>
      <w:r w:rsidRPr="00F446F7">
        <w:rPr>
          <w:rFonts w:asciiTheme="minorHAnsi" w:hAnsiTheme="minorHAnsi"/>
          <w:color w:val="000000" w:themeColor="text1"/>
          <w:sz w:val="24"/>
          <w:szCs w:val="24"/>
        </w:rPr>
        <w:t xml:space="preserve"> </w:t>
      </w:r>
      <w:r w:rsidR="00DF0DE4" w:rsidRPr="00F446F7">
        <w:rPr>
          <w:rFonts w:asciiTheme="minorHAnsi" w:hAnsiTheme="minorHAnsi"/>
          <w:color w:val="000000" w:themeColor="text1"/>
          <w:sz w:val="24"/>
          <w:szCs w:val="24"/>
        </w:rPr>
        <w:t>E</w:t>
      </w:r>
      <w:r w:rsidRPr="00F446F7">
        <w:rPr>
          <w:rFonts w:asciiTheme="minorHAnsi" w:hAnsiTheme="minorHAnsi"/>
          <w:color w:val="000000" w:themeColor="text1"/>
          <w:sz w:val="24"/>
          <w:szCs w:val="24"/>
        </w:rPr>
        <w:t xml:space="preserve">stados </w:t>
      </w:r>
      <w:r w:rsidR="00DF0DE4" w:rsidRPr="00F446F7">
        <w:rPr>
          <w:rFonts w:asciiTheme="minorHAnsi" w:hAnsiTheme="minorHAnsi"/>
          <w:color w:val="000000" w:themeColor="text1"/>
          <w:sz w:val="24"/>
          <w:szCs w:val="24"/>
        </w:rPr>
        <w:t>Miembros</w:t>
      </w:r>
      <w:r w:rsidRPr="00F446F7">
        <w:rPr>
          <w:rFonts w:asciiTheme="minorHAnsi" w:hAnsiTheme="minorHAnsi"/>
          <w:color w:val="000000" w:themeColor="text1"/>
          <w:sz w:val="24"/>
          <w:szCs w:val="24"/>
        </w:rPr>
        <w:t xml:space="preserve">. Los ajustes pactados entre el FMI y la UE están embridando estos proyectos plurianuales </w:t>
      </w:r>
      <w:r w:rsidR="00D873E1" w:rsidRPr="00F446F7">
        <w:rPr>
          <w:rFonts w:asciiTheme="minorHAnsi" w:hAnsiTheme="minorHAnsi"/>
          <w:color w:val="000000" w:themeColor="text1"/>
          <w:sz w:val="24"/>
          <w:szCs w:val="24"/>
        </w:rPr>
        <w:t>público-privad</w:t>
      </w:r>
      <w:r w:rsidR="006861BE" w:rsidRPr="00F446F7">
        <w:rPr>
          <w:rFonts w:asciiTheme="minorHAnsi" w:hAnsiTheme="minorHAnsi"/>
          <w:color w:val="000000" w:themeColor="text1"/>
          <w:sz w:val="24"/>
          <w:szCs w:val="24"/>
        </w:rPr>
        <w:t>o</w:t>
      </w:r>
      <w:r w:rsidR="00D873E1" w:rsidRPr="00F446F7">
        <w:rPr>
          <w:rFonts w:asciiTheme="minorHAnsi" w:hAnsiTheme="minorHAnsi"/>
          <w:color w:val="000000" w:themeColor="text1"/>
          <w:sz w:val="24"/>
          <w:szCs w:val="24"/>
        </w:rPr>
        <w:t>s (</w:t>
      </w:r>
      <w:r w:rsidRPr="00F446F7">
        <w:rPr>
          <w:rFonts w:asciiTheme="minorHAnsi" w:hAnsiTheme="minorHAnsi"/>
          <w:color w:val="000000" w:themeColor="text1"/>
          <w:sz w:val="24"/>
          <w:szCs w:val="24"/>
        </w:rPr>
        <w:t>PPP</w:t>
      </w:r>
      <w:r w:rsidR="00D873E1"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ejecutados, en fase de licitación o de compromiso presupuestario, para integrarlos en términos de contabilidad pública  en el protocolo de valoración de la deuda soberana.</w:t>
      </w:r>
    </w:p>
    <w:p w:rsidR="0001521D" w:rsidRPr="00F446F7" w:rsidRDefault="0001521D" w:rsidP="00F446F7">
      <w:pPr>
        <w:pStyle w:val="Textoindependiente3"/>
        <w:spacing w:after="120"/>
        <w:ind w:left="1068"/>
        <w:rPr>
          <w:rFonts w:asciiTheme="minorHAnsi" w:hAnsiTheme="minorHAnsi"/>
          <w:color w:val="000000" w:themeColor="text1"/>
          <w:sz w:val="24"/>
          <w:szCs w:val="24"/>
        </w:rPr>
      </w:pPr>
      <w:r w:rsidRPr="00F446F7">
        <w:rPr>
          <w:rFonts w:asciiTheme="minorHAnsi" w:hAnsiTheme="minorHAnsi"/>
          <w:color w:val="000000" w:themeColor="text1"/>
          <w:sz w:val="24"/>
          <w:szCs w:val="24"/>
        </w:rPr>
        <w:t>Por tanto, para el FMI, la deuda “embalsada” y oculta en el balance contable de las A</w:t>
      </w:r>
      <w:r w:rsidR="00D873E1" w:rsidRPr="00F446F7">
        <w:rPr>
          <w:rFonts w:asciiTheme="minorHAnsi" w:hAnsiTheme="minorHAnsi"/>
          <w:color w:val="000000" w:themeColor="text1"/>
          <w:sz w:val="24"/>
          <w:szCs w:val="24"/>
        </w:rPr>
        <w:t xml:space="preserve">dministraciones Públicas </w:t>
      </w:r>
      <w:r w:rsidR="001D764E" w:rsidRPr="00F446F7">
        <w:rPr>
          <w:rFonts w:asciiTheme="minorHAnsi" w:hAnsiTheme="minorHAnsi"/>
          <w:color w:val="000000" w:themeColor="text1"/>
          <w:sz w:val="24"/>
          <w:szCs w:val="24"/>
        </w:rPr>
        <w:t>de la Eurozona</w:t>
      </w:r>
      <w:r w:rsidRPr="00F446F7">
        <w:rPr>
          <w:rFonts w:asciiTheme="minorHAnsi" w:hAnsiTheme="minorHAnsi"/>
          <w:color w:val="000000" w:themeColor="text1"/>
          <w:sz w:val="24"/>
          <w:szCs w:val="24"/>
        </w:rPr>
        <w:t xml:space="preserve"> vinculada a modalidades</w:t>
      </w:r>
      <w:r w:rsidR="00263E52" w:rsidRPr="00F446F7">
        <w:rPr>
          <w:rFonts w:asciiTheme="minorHAnsi" w:hAnsiTheme="minorHAnsi"/>
          <w:color w:val="000000" w:themeColor="text1"/>
          <w:sz w:val="24"/>
          <w:szCs w:val="24"/>
        </w:rPr>
        <w:t xml:space="preserve"> de</w:t>
      </w:r>
      <w:r w:rsidR="006861BE" w:rsidRPr="00F446F7">
        <w:rPr>
          <w:rFonts w:asciiTheme="minorHAnsi" w:hAnsiTheme="minorHAnsi"/>
          <w:color w:val="000000" w:themeColor="text1"/>
          <w:sz w:val="24"/>
          <w:szCs w:val="24"/>
        </w:rPr>
        <w:t xml:space="preserve"> </w:t>
      </w:r>
      <w:proofErr w:type="spellStart"/>
      <w:r w:rsidRPr="00F446F7">
        <w:rPr>
          <w:rFonts w:asciiTheme="minorHAnsi" w:hAnsiTheme="minorHAnsi"/>
          <w:color w:val="000000" w:themeColor="text1"/>
          <w:sz w:val="24"/>
          <w:szCs w:val="24"/>
        </w:rPr>
        <w:t>CPPs</w:t>
      </w:r>
      <w:proofErr w:type="spellEnd"/>
      <w:r w:rsidRPr="00F446F7">
        <w:rPr>
          <w:rFonts w:asciiTheme="minorHAnsi" w:hAnsiTheme="minorHAnsi"/>
          <w:color w:val="000000" w:themeColor="text1"/>
          <w:sz w:val="24"/>
          <w:szCs w:val="24"/>
        </w:rPr>
        <w:t xml:space="preserve"> (concesiones administrativas, arrendamientos operativos, PFI</w:t>
      </w:r>
      <w:r w:rsidRPr="00F446F7">
        <w:rPr>
          <w:rFonts w:asciiTheme="minorHAnsi" w:hAnsiTheme="minorHAnsi"/>
          <w:i/>
          <w:color w:val="000000" w:themeColor="text1"/>
          <w:sz w:val="24"/>
          <w:szCs w:val="24"/>
        </w:rPr>
        <w:t>,</w:t>
      </w:r>
      <w:r w:rsidR="00263E52" w:rsidRPr="00F446F7">
        <w:rPr>
          <w:rFonts w:asciiTheme="minorHAnsi" w:hAnsiTheme="minorHAnsi"/>
          <w:i/>
          <w:color w:val="000000" w:themeColor="text1"/>
          <w:sz w:val="24"/>
          <w:szCs w:val="24"/>
        </w:rPr>
        <w:t xml:space="preserve"> tipos de </w:t>
      </w:r>
      <w:r w:rsidRPr="00F446F7">
        <w:rPr>
          <w:rFonts w:asciiTheme="minorHAnsi" w:hAnsiTheme="minorHAnsi"/>
          <w:i/>
          <w:color w:val="000000" w:themeColor="text1"/>
          <w:sz w:val="24"/>
          <w:szCs w:val="24"/>
        </w:rPr>
        <w:t xml:space="preserve"> </w:t>
      </w:r>
      <w:proofErr w:type="spellStart"/>
      <w:r w:rsidRPr="00F446F7">
        <w:rPr>
          <w:rFonts w:asciiTheme="minorHAnsi" w:hAnsiTheme="minorHAnsi"/>
          <w:i/>
          <w:color w:val="000000" w:themeColor="text1"/>
          <w:sz w:val="24"/>
          <w:szCs w:val="24"/>
        </w:rPr>
        <w:t>joint</w:t>
      </w:r>
      <w:proofErr w:type="spellEnd"/>
      <w:r w:rsidRPr="00F446F7">
        <w:rPr>
          <w:rFonts w:asciiTheme="minorHAnsi" w:hAnsiTheme="minorHAnsi"/>
          <w:i/>
          <w:color w:val="000000" w:themeColor="text1"/>
          <w:sz w:val="24"/>
          <w:szCs w:val="24"/>
        </w:rPr>
        <w:t xml:space="preserve"> </w:t>
      </w:r>
      <w:proofErr w:type="spellStart"/>
      <w:r w:rsidRPr="00F446F7">
        <w:rPr>
          <w:rFonts w:asciiTheme="minorHAnsi" w:hAnsiTheme="minorHAnsi"/>
          <w:i/>
          <w:color w:val="000000" w:themeColor="text1"/>
          <w:sz w:val="24"/>
          <w:szCs w:val="24"/>
        </w:rPr>
        <w:t>ventures</w:t>
      </w:r>
      <w:proofErr w:type="spellEnd"/>
      <w:r w:rsidRPr="00F446F7">
        <w:rPr>
          <w:rFonts w:asciiTheme="minorHAnsi" w:hAnsiTheme="minorHAnsi"/>
          <w:i/>
          <w:color w:val="000000" w:themeColor="text1"/>
          <w:sz w:val="24"/>
          <w:szCs w:val="24"/>
        </w:rPr>
        <w:t>,…)</w:t>
      </w:r>
      <w:r w:rsidRPr="00F446F7">
        <w:rPr>
          <w:rFonts w:asciiTheme="minorHAnsi" w:hAnsiTheme="minorHAnsi"/>
          <w:color w:val="000000" w:themeColor="text1"/>
          <w:sz w:val="24"/>
          <w:szCs w:val="24"/>
        </w:rPr>
        <w:t xml:space="preserve"> tiene</w:t>
      </w:r>
      <w:r w:rsidR="00804A2D" w:rsidRPr="00F446F7">
        <w:rPr>
          <w:rFonts w:asciiTheme="minorHAnsi" w:hAnsiTheme="minorHAnsi"/>
          <w:color w:val="000000" w:themeColor="text1"/>
          <w:sz w:val="24"/>
          <w:szCs w:val="24"/>
        </w:rPr>
        <w:t>n</w:t>
      </w:r>
      <w:r w:rsidRPr="00F446F7">
        <w:rPr>
          <w:rFonts w:asciiTheme="minorHAnsi" w:hAnsiTheme="minorHAnsi"/>
          <w:color w:val="000000" w:themeColor="text1"/>
          <w:sz w:val="24"/>
          <w:szCs w:val="24"/>
        </w:rPr>
        <w:t xml:space="preserve"> la misma consideración  </w:t>
      </w:r>
      <w:r w:rsidR="001D764E" w:rsidRPr="00F446F7">
        <w:rPr>
          <w:rFonts w:asciiTheme="minorHAnsi" w:hAnsiTheme="minorHAnsi"/>
          <w:color w:val="000000" w:themeColor="text1"/>
          <w:sz w:val="24"/>
          <w:szCs w:val="24"/>
        </w:rPr>
        <w:t xml:space="preserve">de gasto </w:t>
      </w:r>
      <w:r w:rsidRPr="00F446F7">
        <w:rPr>
          <w:rFonts w:asciiTheme="minorHAnsi" w:hAnsiTheme="minorHAnsi"/>
          <w:color w:val="000000" w:themeColor="text1"/>
          <w:sz w:val="24"/>
          <w:szCs w:val="24"/>
        </w:rPr>
        <w:t xml:space="preserve">como obligaciones que debieran ser computables, </w:t>
      </w:r>
      <w:r w:rsidR="00CE477C" w:rsidRPr="00F446F7">
        <w:rPr>
          <w:rFonts w:asciiTheme="minorHAnsi" w:hAnsiTheme="minorHAnsi"/>
          <w:color w:val="000000" w:themeColor="text1"/>
          <w:sz w:val="24"/>
          <w:szCs w:val="24"/>
        </w:rPr>
        <w:t xml:space="preserve"> al igual </w:t>
      </w:r>
      <w:r w:rsidRPr="00F446F7">
        <w:rPr>
          <w:rFonts w:asciiTheme="minorHAnsi" w:hAnsiTheme="minorHAnsi"/>
          <w:color w:val="000000" w:themeColor="text1"/>
          <w:sz w:val="24"/>
          <w:szCs w:val="24"/>
        </w:rPr>
        <w:t xml:space="preserve">que las empresas </w:t>
      </w:r>
      <w:r w:rsidR="00CE477C" w:rsidRPr="00F446F7">
        <w:rPr>
          <w:rFonts w:asciiTheme="minorHAnsi" w:hAnsiTheme="minorHAnsi"/>
          <w:color w:val="000000" w:themeColor="text1"/>
          <w:sz w:val="24"/>
          <w:szCs w:val="24"/>
        </w:rPr>
        <w:t>e instituciones</w:t>
      </w:r>
      <w:r w:rsidRPr="00F446F7">
        <w:rPr>
          <w:rFonts w:asciiTheme="minorHAnsi" w:hAnsiTheme="minorHAnsi"/>
          <w:color w:val="000000" w:themeColor="text1"/>
          <w:sz w:val="24"/>
          <w:szCs w:val="24"/>
        </w:rPr>
        <w:t xml:space="preserve"> públicas que se acogen al Protocolo Europeo.</w:t>
      </w:r>
    </w:p>
    <w:p w:rsidR="00E95D2F" w:rsidRPr="00F446F7" w:rsidRDefault="00263E52" w:rsidP="00F446F7">
      <w:pPr>
        <w:pStyle w:val="Textoindependiente3"/>
        <w:numPr>
          <w:ilvl w:val="0"/>
          <w:numId w:val="1"/>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lastRenderedPageBreak/>
        <w:t>S</w:t>
      </w:r>
      <w:r w:rsidR="00804A2D" w:rsidRPr="00F446F7">
        <w:rPr>
          <w:rFonts w:asciiTheme="minorHAnsi" w:hAnsiTheme="minorHAnsi"/>
          <w:color w:val="000000" w:themeColor="text1"/>
          <w:sz w:val="24"/>
          <w:szCs w:val="24"/>
        </w:rPr>
        <w:t xml:space="preserve">i bien el Sistema Europeo de Cuentas Públicas exige en términos de gasto contabilizar el devengo (obligaciones) que genera la inversión pública, sin </w:t>
      </w:r>
      <w:r w:rsidR="004D2683">
        <w:rPr>
          <w:rFonts w:asciiTheme="minorHAnsi" w:hAnsiTheme="minorHAnsi"/>
          <w:color w:val="000000" w:themeColor="text1"/>
          <w:sz w:val="24"/>
          <w:szCs w:val="24"/>
        </w:rPr>
        <w:t xml:space="preserve">  </w:t>
      </w:r>
      <w:r w:rsidR="00804A2D" w:rsidRPr="00F446F7">
        <w:rPr>
          <w:rFonts w:asciiTheme="minorHAnsi" w:hAnsiTheme="minorHAnsi"/>
          <w:color w:val="000000" w:themeColor="text1"/>
          <w:sz w:val="24"/>
          <w:szCs w:val="24"/>
        </w:rPr>
        <w:t xml:space="preserve">que ello contribuya a rebasar los límites de endeudamiento exigidos en el Pacto de Estabilidad y Crecimiento de la </w:t>
      </w:r>
      <w:r w:rsidR="00CE477C" w:rsidRPr="00F446F7">
        <w:rPr>
          <w:rFonts w:asciiTheme="minorHAnsi" w:hAnsiTheme="minorHAnsi"/>
          <w:color w:val="000000" w:themeColor="text1"/>
          <w:sz w:val="24"/>
          <w:szCs w:val="24"/>
        </w:rPr>
        <w:t>E</w:t>
      </w:r>
      <w:r w:rsidR="00804A2D" w:rsidRPr="00F446F7">
        <w:rPr>
          <w:rFonts w:asciiTheme="minorHAnsi" w:hAnsiTheme="minorHAnsi"/>
          <w:color w:val="000000" w:themeColor="text1"/>
          <w:sz w:val="24"/>
          <w:szCs w:val="24"/>
        </w:rPr>
        <w:t>urozona</w:t>
      </w:r>
      <w:r w:rsidR="00DF5863" w:rsidRPr="00F446F7">
        <w:rPr>
          <w:rFonts w:asciiTheme="minorHAnsi" w:hAnsiTheme="minorHAnsi"/>
          <w:color w:val="000000" w:themeColor="text1"/>
          <w:sz w:val="24"/>
          <w:szCs w:val="24"/>
        </w:rPr>
        <w:t>, es también cierto</w:t>
      </w:r>
      <w:r w:rsidR="00E95D2F" w:rsidRPr="00F446F7">
        <w:rPr>
          <w:rFonts w:asciiTheme="minorHAnsi" w:hAnsiTheme="minorHAnsi"/>
          <w:color w:val="000000" w:themeColor="text1"/>
          <w:sz w:val="24"/>
          <w:szCs w:val="24"/>
        </w:rPr>
        <w:t xml:space="preserve">, </w:t>
      </w:r>
      <w:r w:rsidR="00DF5863" w:rsidRPr="00F446F7">
        <w:rPr>
          <w:rFonts w:asciiTheme="minorHAnsi" w:hAnsiTheme="minorHAnsi"/>
          <w:color w:val="000000" w:themeColor="text1"/>
          <w:sz w:val="24"/>
          <w:szCs w:val="24"/>
        </w:rPr>
        <w:t xml:space="preserve">que dentro del </w:t>
      </w:r>
      <w:r w:rsidR="00E95D2F" w:rsidRPr="00F446F7">
        <w:rPr>
          <w:rFonts w:asciiTheme="minorHAnsi" w:hAnsiTheme="minorHAnsi"/>
          <w:color w:val="000000" w:themeColor="text1"/>
          <w:sz w:val="24"/>
          <w:szCs w:val="24"/>
        </w:rPr>
        <w:t xml:space="preserve">apropiado </w:t>
      </w:r>
      <w:r w:rsidR="00DF5863" w:rsidRPr="00F446F7">
        <w:rPr>
          <w:rFonts w:asciiTheme="minorHAnsi" w:hAnsiTheme="minorHAnsi"/>
          <w:color w:val="000000" w:themeColor="text1"/>
          <w:sz w:val="24"/>
          <w:szCs w:val="24"/>
        </w:rPr>
        <w:t xml:space="preserve"> desempeño fiscal, </w:t>
      </w:r>
      <w:r w:rsidR="00E95D2F" w:rsidRPr="00F446F7">
        <w:rPr>
          <w:rFonts w:asciiTheme="minorHAnsi" w:hAnsiTheme="minorHAnsi"/>
          <w:color w:val="000000" w:themeColor="text1"/>
          <w:sz w:val="24"/>
          <w:szCs w:val="24"/>
        </w:rPr>
        <w:t>si el déficit público de la Administración competente</w:t>
      </w:r>
      <w:r w:rsidRPr="00F446F7">
        <w:rPr>
          <w:rFonts w:asciiTheme="minorHAnsi" w:hAnsiTheme="minorHAnsi"/>
          <w:color w:val="000000" w:themeColor="text1"/>
          <w:sz w:val="24"/>
          <w:szCs w:val="24"/>
        </w:rPr>
        <w:t xml:space="preserve"> supera los gastos de inversión, la Regla de Oro  de la CE, conforme al</w:t>
      </w:r>
      <w:r w:rsidR="00E95D2F" w:rsidRPr="00F446F7">
        <w:rPr>
          <w:rFonts w:asciiTheme="minorHAnsi" w:hAnsiTheme="minorHAnsi"/>
          <w:color w:val="000000" w:themeColor="text1"/>
          <w:sz w:val="24"/>
          <w:szCs w:val="24"/>
        </w:rPr>
        <w:t xml:space="preserve"> </w:t>
      </w:r>
      <w:r w:rsidR="001D764E" w:rsidRPr="00F446F7">
        <w:rPr>
          <w:rFonts w:asciiTheme="minorHAnsi" w:hAnsiTheme="minorHAnsi"/>
          <w:color w:val="000000" w:themeColor="text1"/>
          <w:sz w:val="24"/>
          <w:szCs w:val="24"/>
        </w:rPr>
        <w:t>T</w:t>
      </w:r>
      <w:r w:rsidR="00E95D2F" w:rsidRPr="00F446F7">
        <w:rPr>
          <w:rFonts w:asciiTheme="minorHAnsi" w:hAnsiTheme="minorHAnsi"/>
          <w:color w:val="000000" w:themeColor="text1"/>
          <w:sz w:val="24"/>
          <w:szCs w:val="24"/>
        </w:rPr>
        <w:t xml:space="preserve">ratado de Maastricht (104- C) y </w:t>
      </w:r>
      <w:r w:rsidRPr="00F446F7">
        <w:rPr>
          <w:rFonts w:asciiTheme="minorHAnsi" w:hAnsiTheme="minorHAnsi"/>
          <w:color w:val="000000" w:themeColor="text1"/>
          <w:sz w:val="24"/>
          <w:szCs w:val="24"/>
        </w:rPr>
        <w:t>al Tratado de Lisboa (126.3), sigue el criterio m</w:t>
      </w:r>
      <w:r w:rsidR="00E95D2F" w:rsidRPr="00F446F7">
        <w:rPr>
          <w:rFonts w:asciiTheme="minorHAnsi" w:hAnsiTheme="minorHAnsi"/>
          <w:color w:val="000000" w:themeColor="text1"/>
          <w:sz w:val="24"/>
          <w:szCs w:val="24"/>
        </w:rPr>
        <w:t xml:space="preserve">ayoritario </w:t>
      </w:r>
      <w:r w:rsidRPr="00F446F7">
        <w:rPr>
          <w:rFonts w:asciiTheme="minorHAnsi" w:hAnsiTheme="minorHAnsi"/>
          <w:color w:val="000000" w:themeColor="text1"/>
          <w:sz w:val="24"/>
          <w:szCs w:val="24"/>
        </w:rPr>
        <w:t xml:space="preserve">y flexible de </w:t>
      </w:r>
      <w:r w:rsidR="00E95D2F" w:rsidRPr="00F446F7">
        <w:rPr>
          <w:rFonts w:asciiTheme="minorHAnsi" w:hAnsiTheme="minorHAnsi"/>
          <w:color w:val="000000" w:themeColor="text1"/>
          <w:sz w:val="24"/>
          <w:szCs w:val="24"/>
        </w:rPr>
        <w:t xml:space="preserve">no computar las inversiones públicas productivas </w:t>
      </w:r>
      <w:r w:rsidR="006D190A">
        <w:rPr>
          <w:rFonts w:asciiTheme="minorHAnsi" w:hAnsiTheme="minorHAnsi"/>
          <w:color w:val="000000" w:themeColor="text1"/>
          <w:sz w:val="24"/>
          <w:szCs w:val="24"/>
        </w:rPr>
        <w:t xml:space="preserve">y estratégicas </w:t>
      </w:r>
      <w:r w:rsidR="00E95D2F" w:rsidRPr="00F446F7">
        <w:rPr>
          <w:rFonts w:asciiTheme="minorHAnsi" w:hAnsiTheme="minorHAnsi"/>
          <w:color w:val="000000" w:themeColor="text1"/>
          <w:sz w:val="24"/>
          <w:szCs w:val="24"/>
        </w:rPr>
        <w:t xml:space="preserve">como deuda soberana. </w:t>
      </w:r>
    </w:p>
    <w:p w:rsidR="00E95D2F" w:rsidRPr="00F446F7" w:rsidRDefault="00E95D2F" w:rsidP="00F446F7">
      <w:pPr>
        <w:pStyle w:val="Textoindependiente3"/>
        <w:numPr>
          <w:ilvl w:val="0"/>
          <w:numId w:val="1"/>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La financiación del</w:t>
      </w:r>
      <w:r w:rsidR="00BC0C7B" w:rsidRPr="00F446F7">
        <w:rPr>
          <w:rFonts w:asciiTheme="minorHAnsi" w:hAnsiTheme="minorHAnsi"/>
          <w:color w:val="000000" w:themeColor="text1"/>
          <w:sz w:val="24"/>
          <w:szCs w:val="24"/>
        </w:rPr>
        <w:t xml:space="preserve"> endeudamiento </w:t>
      </w:r>
      <w:r w:rsidR="00263E52" w:rsidRPr="00F446F7">
        <w:rPr>
          <w:rFonts w:asciiTheme="minorHAnsi" w:hAnsiTheme="minorHAnsi"/>
          <w:color w:val="000000" w:themeColor="text1"/>
          <w:sz w:val="24"/>
          <w:szCs w:val="24"/>
        </w:rPr>
        <w:t xml:space="preserve">para infraestructuras públicas </w:t>
      </w:r>
      <w:r w:rsidR="00BC0C7B" w:rsidRPr="00F446F7">
        <w:rPr>
          <w:rFonts w:asciiTheme="minorHAnsi" w:hAnsiTheme="minorHAnsi"/>
          <w:color w:val="000000" w:themeColor="text1"/>
          <w:sz w:val="24"/>
          <w:szCs w:val="24"/>
        </w:rPr>
        <w:t xml:space="preserve">a través del </w:t>
      </w:r>
      <w:r w:rsidRPr="00F446F7">
        <w:rPr>
          <w:rFonts w:asciiTheme="minorHAnsi" w:hAnsiTheme="minorHAnsi"/>
          <w:color w:val="000000" w:themeColor="text1"/>
          <w:sz w:val="24"/>
          <w:szCs w:val="24"/>
        </w:rPr>
        <w:t xml:space="preserve"> bono de deuda pública es </w:t>
      </w:r>
      <w:r w:rsidR="00263E52" w:rsidRPr="00F446F7">
        <w:rPr>
          <w:rFonts w:asciiTheme="minorHAnsi" w:hAnsiTheme="minorHAnsi"/>
          <w:color w:val="000000" w:themeColor="text1"/>
          <w:sz w:val="24"/>
          <w:szCs w:val="24"/>
        </w:rPr>
        <w:t xml:space="preserve">claramente </w:t>
      </w:r>
      <w:r w:rsidRPr="00F446F7">
        <w:rPr>
          <w:rFonts w:asciiTheme="minorHAnsi" w:hAnsiTheme="minorHAnsi"/>
          <w:color w:val="000000" w:themeColor="text1"/>
          <w:sz w:val="24"/>
          <w:szCs w:val="24"/>
        </w:rPr>
        <w:t>inferior</w:t>
      </w:r>
      <w:r w:rsidR="00BC0C7B"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en el momento actual</w:t>
      </w:r>
      <w:r w:rsidR="00BC0C7B"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al bono privado. A día de hoy, la prima de riesgo que soporta la financiación de proyectos de inversión en el sector privado duplica </w:t>
      </w:r>
      <w:r w:rsidR="00B85B84" w:rsidRPr="00F446F7">
        <w:rPr>
          <w:rFonts w:asciiTheme="minorHAnsi" w:hAnsiTheme="minorHAnsi"/>
          <w:color w:val="000000" w:themeColor="text1"/>
          <w:sz w:val="24"/>
          <w:szCs w:val="24"/>
        </w:rPr>
        <w:t xml:space="preserve">o triplica </w:t>
      </w:r>
      <w:r w:rsidRPr="00F446F7">
        <w:rPr>
          <w:rFonts w:asciiTheme="minorHAnsi" w:hAnsiTheme="minorHAnsi"/>
          <w:color w:val="000000" w:themeColor="text1"/>
          <w:sz w:val="24"/>
          <w:szCs w:val="24"/>
        </w:rPr>
        <w:t xml:space="preserve">la del sector público, posiblemente por existir mayores riesgos de impago (default). La prima de riesgo para la deuda soberana </w:t>
      </w:r>
      <w:r w:rsidR="006861BE" w:rsidRPr="00F446F7">
        <w:rPr>
          <w:rFonts w:asciiTheme="minorHAnsi" w:hAnsiTheme="minorHAnsi"/>
          <w:color w:val="000000" w:themeColor="text1"/>
          <w:sz w:val="24"/>
          <w:szCs w:val="24"/>
        </w:rPr>
        <w:t>de España</w:t>
      </w:r>
      <w:r w:rsidRPr="00F446F7">
        <w:rPr>
          <w:rFonts w:asciiTheme="minorHAnsi" w:hAnsiTheme="minorHAnsi"/>
          <w:color w:val="000000" w:themeColor="text1"/>
          <w:sz w:val="24"/>
          <w:szCs w:val="24"/>
        </w:rPr>
        <w:t xml:space="preserve"> oscila </w:t>
      </w:r>
      <w:r w:rsidR="00263E52" w:rsidRPr="00F446F7">
        <w:rPr>
          <w:rFonts w:asciiTheme="minorHAnsi" w:hAnsiTheme="minorHAnsi"/>
          <w:color w:val="000000" w:themeColor="text1"/>
          <w:sz w:val="24"/>
          <w:szCs w:val="24"/>
        </w:rPr>
        <w:t xml:space="preserve">en el periodo actual  </w:t>
      </w:r>
      <w:r w:rsidRPr="00F446F7">
        <w:rPr>
          <w:rFonts w:asciiTheme="minorHAnsi" w:hAnsiTheme="minorHAnsi"/>
          <w:color w:val="000000" w:themeColor="text1"/>
          <w:sz w:val="24"/>
          <w:szCs w:val="24"/>
        </w:rPr>
        <w:t xml:space="preserve">en torno a los 120 puntos, es decir, un rendimiento con tipos ligeramente </w:t>
      </w:r>
      <w:r w:rsidR="006861BE" w:rsidRPr="00F446F7">
        <w:rPr>
          <w:rFonts w:asciiTheme="minorHAnsi" w:hAnsiTheme="minorHAnsi"/>
          <w:color w:val="000000" w:themeColor="text1"/>
          <w:sz w:val="24"/>
          <w:szCs w:val="24"/>
        </w:rPr>
        <w:t>inferiores</w:t>
      </w:r>
      <w:r w:rsidRPr="00F446F7">
        <w:rPr>
          <w:rFonts w:asciiTheme="minorHAnsi" w:hAnsiTheme="minorHAnsi"/>
          <w:color w:val="000000" w:themeColor="text1"/>
          <w:sz w:val="24"/>
          <w:szCs w:val="24"/>
        </w:rPr>
        <w:t xml:space="preserve"> al 2% a 10 años (referencia bono alemán</w:t>
      </w:r>
      <w:r w:rsidR="0065387E" w:rsidRPr="00F446F7">
        <w:rPr>
          <w:rFonts w:asciiTheme="minorHAnsi" w:hAnsiTheme="minorHAnsi"/>
          <w:color w:val="000000" w:themeColor="text1"/>
          <w:sz w:val="24"/>
          <w:szCs w:val="24"/>
        </w:rPr>
        <w:t>-24 noviembre 2014</w:t>
      </w:r>
      <w:r w:rsidRPr="00F446F7">
        <w:rPr>
          <w:rFonts w:asciiTheme="minorHAnsi" w:hAnsiTheme="minorHAnsi"/>
          <w:color w:val="000000" w:themeColor="text1"/>
          <w:sz w:val="24"/>
          <w:szCs w:val="24"/>
        </w:rPr>
        <w:t>).</w:t>
      </w:r>
    </w:p>
    <w:p w:rsidR="0065387E" w:rsidRPr="00F446F7" w:rsidRDefault="0065387E" w:rsidP="00F446F7">
      <w:pPr>
        <w:pStyle w:val="Textoindependiente3"/>
        <w:numPr>
          <w:ilvl w:val="0"/>
          <w:numId w:val="1"/>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La mejora de las condiciones financieras de las Comunidades Autónomas (CC.AA.) adheridas al Fondo de Liquidez Autonómico (FLA) decididas (31 Julio -2014) en el Consejo de Política Fiscal y Financiera, pueden contribuir a reducir la deuda comercial pendiente de pago a proveedores y dotar de mayor liquidez para nuevos proyectos de inversión en infraestructuras (sanitarias). Esta nueva reestructuración del FLA se ha materializado por medio de las rebajas de los tipos de interés a</w:t>
      </w:r>
      <w:r w:rsidR="006D190A">
        <w:rPr>
          <w:rFonts w:asciiTheme="minorHAnsi" w:hAnsiTheme="minorHAnsi"/>
          <w:color w:val="000000" w:themeColor="text1"/>
          <w:sz w:val="24"/>
          <w:szCs w:val="24"/>
        </w:rPr>
        <w:t>l</w:t>
      </w:r>
      <w:r w:rsidRPr="00F446F7">
        <w:rPr>
          <w:rFonts w:asciiTheme="minorHAnsi" w:hAnsiTheme="minorHAnsi"/>
          <w:color w:val="000000" w:themeColor="text1"/>
          <w:sz w:val="24"/>
          <w:szCs w:val="24"/>
        </w:rPr>
        <w:t xml:space="preserve"> 1% (</w:t>
      </w:r>
      <w:r w:rsidR="004171A0" w:rsidRPr="00F446F7">
        <w:rPr>
          <w:rFonts w:asciiTheme="minorHAnsi" w:hAnsiTheme="minorHAnsi"/>
          <w:color w:val="000000" w:themeColor="text1"/>
          <w:sz w:val="24"/>
          <w:szCs w:val="24"/>
        </w:rPr>
        <w:t xml:space="preserve">para </w:t>
      </w:r>
      <w:r w:rsidRPr="00F446F7">
        <w:rPr>
          <w:rFonts w:asciiTheme="minorHAnsi" w:hAnsiTheme="minorHAnsi"/>
          <w:color w:val="000000" w:themeColor="text1"/>
          <w:sz w:val="24"/>
          <w:szCs w:val="24"/>
        </w:rPr>
        <w:t>2012-</w:t>
      </w:r>
      <w:r w:rsidR="004171A0" w:rsidRPr="00F446F7">
        <w:rPr>
          <w:rFonts w:asciiTheme="minorHAnsi" w:hAnsiTheme="minorHAnsi"/>
          <w:color w:val="000000" w:themeColor="text1"/>
          <w:sz w:val="24"/>
          <w:szCs w:val="24"/>
        </w:rPr>
        <w:t>20</w:t>
      </w:r>
      <w:r w:rsidRPr="00F446F7">
        <w:rPr>
          <w:rFonts w:asciiTheme="minorHAnsi" w:hAnsiTheme="minorHAnsi"/>
          <w:color w:val="000000" w:themeColor="text1"/>
          <w:sz w:val="24"/>
          <w:szCs w:val="24"/>
        </w:rPr>
        <w:t>13-</w:t>
      </w:r>
      <w:r w:rsidR="004171A0" w:rsidRPr="00F446F7">
        <w:rPr>
          <w:rFonts w:asciiTheme="minorHAnsi" w:hAnsiTheme="minorHAnsi"/>
          <w:color w:val="000000" w:themeColor="text1"/>
          <w:sz w:val="24"/>
          <w:szCs w:val="24"/>
        </w:rPr>
        <w:t>20</w:t>
      </w:r>
      <w:r w:rsidRPr="00F446F7">
        <w:rPr>
          <w:rFonts w:asciiTheme="minorHAnsi" w:hAnsiTheme="minorHAnsi"/>
          <w:color w:val="000000" w:themeColor="text1"/>
          <w:sz w:val="24"/>
          <w:szCs w:val="24"/>
        </w:rPr>
        <w:t>14) aplicables desde el 1 de octubre de 2014 (hasta diciembre 2015)</w:t>
      </w:r>
      <w:r w:rsidR="004171A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junto a otras medidas de liquidez como la concesión de u</w:t>
      </w:r>
      <w:r w:rsidR="004171A0" w:rsidRPr="00F446F7">
        <w:rPr>
          <w:rFonts w:asciiTheme="minorHAnsi" w:hAnsiTheme="minorHAnsi"/>
          <w:color w:val="000000" w:themeColor="text1"/>
          <w:sz w:val="24"/>
          <w:szCs w:val="24"/>
        </w:rPr>
        <w:t>n año más de carencia para las operaciones</w:t>
      </w:r>
      <w:r w:rsidRPr="00F446F7">
        <w:rPr>
          <w:rFonts w:asciiTheme="minorHAnsi" w:hAnsiTheme="minorHAnsi"/>
          <w:color w:val="000000" w:themeColor="text1"/>
          <w:sz w:val="24"/>
          <w:szCs w:val="24"/>
        </w:rPr>
        <w:t xml:space="preserve"> de crédito del FLA -2012 y </w:t>
      </w:r>
      <w:r w:rsidR="004171A0" w:rsidRPr="00F446F7">
        <w:rPr>
          <w:rFonts w:asciiTheme="minorHAnsi" w:hAnsiTheme="minorHAnsi"/>
          <w:color w:val="000000" w:themeColor="text1"/>
          <w:sz w:val="24"/>
          <w:szCs w:val="24"/>
        </w:rPr>
        <w:t xml:space="preserve">la </w:t>
      </w:r>
      <w:r w:rsidRPr="00F446F7">
        <w:rPr>
          <w:rFonts w:asciiTheme="minorHAnsi" w:hAnsiTheme="minorHAnsi"/>
          <w:color w:val="000000" w:themeColor="text1"/>
          <w:sz w:val="24"/>
          <w:szCs w:val="24"/>
        </w:rPr>
        <w:t>ampliación del plazo de amortización con cargo al FLA-2012 hasta el 2023.</w:t>
      </w:r>
    </w:p>
    <w:p w:rsidR="0065387E" w:rsidRPr="00F446F7" w:rsidRDefault="0065387E" w:rsidP="00F446F7">
      <w:pPr>
        <w:pStyle w:val="Textoindependiente3"/>
        <w:spacing w:after="120"/>
        <w:ind w:left="1068"/>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Los más de 4.000 m€ de liquidez </w:t>
      </w:r>
      <w:r w:rsidR="004171A0" w:rsidRPr="00F446F7">
        <w:rPr>
          <w:rFonts w:asciiTheme="minorHAnsi" w:hAnsiTheme="minorHAnsi"/>
          <w:color w:val="000000" w:themeColor="text1"/>
          <w:sz w:val="24"/>
          <w:szCs w:val="24"/>
        </w:rPr>
        <w:t xml:space="preserve">adicional </w:t>
      </w:r>
      <w:r w:rsidRPr="00F446F7">
        <w:rPr>
          <w:rFonts w:asciiTheme="minorHAnsi" w:hAnsiTheme="minorHAnsi"/>
          <w:color w:val="000000" w:themeColor="text1"/>
          <w:sz w:val="24"/>
          <w:szCs w:val="24"/>
        </w:rPr>
        <w:t xml:space="preserve">disponible para estas CC.AA., si bien </w:t>
      </w:r>
      <w:r w:rsidR="006D190A">
        <w:rPr>
          <w:rFonts w:asciiTheme="minorHAnsi" w:hAnsiTheme="minorHAnsi"/>
          <w:color w:val="000000" w:themeColor="text1"/>
          <w:sz w:val="24"/>
          <w:szCs w:val="24"/>
        </w:rPr>
        <w:t xml:space="preserve">es cierto que </w:t>
      </w:r>
      <w:r w:rsidRPr="00F446F7">
        <w:rPr>
          <w:rFonts w:asciiTheme="minorHAnsi" w:hAnsiTheme="minorHAnsi"/>
          <w:color w:val="000000" w:themeColor="text1"/>
          <w:sz w:val="24"/>
          <w:szCs w:val="24"/>
        </w:rPr>
        <w:t>el Estado Central prefe</w:t>
      </w:r>
      <w:r w:rsidR="004171A0" w:rsidRPr="00F446F7">
        <w:rPr>
          <w:rFonts w:asciiTheme="minorHAnsi" w:hAnsiTheme="minorHAnsi"/>
          <w:color w:val="000000" w:themeColor="text1"/>
          <w:sz w:val="24"/>
          <w:szCs w:val="24"/>
        </w:rPr>
        <w:t>rencia</w:t>
      </w:r>
      <w:r w:rsidRPr="00F446F7">
        <w:rPr>
          <w:rFonts w:asciiTheme="minorHAnsi" w:hAnsiTheme="minorHAnsi"/>
          <w:color w:val="000000" w:themeColor="text1"/>
          <w:sz w:val="24"/>
          <w:szCs w:val="24"/>
        </w:rPr>
        <w:t xml:space="preserve"> su destino a la reducción de la deuda pendiente de pago, es </w:t>
      </w:r>
      <w:r w:rsidR="006D190A">
        <w:rPr>
          <w:rFonts w:asciiTheme="minorHAnsi" w:hAnsiTheme="minorHAnsi"/>
          <w:color w:val="000000" w:themeColor="text1"/>
          <w:sz w:val="24"/>
          <w:szCs w:val="24"/>
        </w:rPr>
        <w:t>igualmente</w:t>
      </w:r>
      <w:r w:rsidRPr="00F446F7">
        <w:rPr>
          <w:rFonts w:asciiTheme="minorHAnsi" w:hAnsiTheme="minorHAnsi"/>
          <w:color w:val="000000" w:themeColor="text1"/>
          <w:sz w:val="24"/>
          <w:szCs w:val="24"/>
        </w:rPr>
        <w:t xml:space="preserve"> cierto que</w:t>
      </w:r>
      <w:r w:rsidR="004171A0" w:rsidRPr="00F446F7">
        <w:rPr>
          <w:rFonts w:asciiTheme="minorHAnsi" w:hAnsiTheme="minorHAnsi"/>
          <w:color w:val="000000" w:themeColor="text1"/>
          <w:sz w:val="24"/>
          <w:szCs w:val="24"/>
        </w:rPr>
        <w:t xml:space="preserve"> también </w:t>
      </w:r>
      <w:r w:rsidRPr="00F446F7">
        <w:rPr>
          <w:rFonts w:asciiTheme="minorHAnsi" w:hAnsiTheme="minorHAnsi"/>
          <w:color w:val="000000" w:themeColor="text1"/>
          <w:sz w:val="24"/>
          <w:szCs w:val="24"/>
        </w:rPr>
        <w:t>subsana la tensión presupuestaria en al marco de Estabilidad Fiscal y Sostenibilidad Financiera de estos Territorios</w:t>
      </w:r>
      <w:r w:rsidR="006D190A">
        <w:rPr>
          <w:rFonts w:asciiTheme="minorHAnsi" w:hAnsiTheme="minorHAnsi"/>
          <w:color w:val="000000" w:themeColor="text1"/>
          <w:sz w:val="24"/>
          <w:szCs w:val="24"/>
        </w:rPr>
        <w:t>, lo que puede permitir inversiones públicas en infraestructuras sanitarias.</w:t>
      </w:r>
    </w:p>
    <w:p w:rsidR="0065387E" w:rsidRPr="00F446F7" w:rsidRDefault="0065387E" w:rsidP="00F446F7">
      <w:pPr>
        <w:pStyle w:val="Textoindependiente3"/>
        <w:spacing w:after="120"/>
        <w:ind w:left="1068"/>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Para las CC.AA. de </w:t>
      </w:r>
      <w:r w:rsidR="00B30460" w:rsidRPr="00F446F7">
        <w:rPr>
          <w:rFonts w:asciiTheme="minorHAnsi" w:hAnsiTheme="minorHAnsi"/>
          <w:color w:val="000000" w:themeColor="text1"/>
          <w:sz w:val="24"/>
          <w:szCs w:val="24"/>
        </w:rPr>
        <w:t>R</w:t>
      </w:r>
      <w:r w:rsidRPr="00F446F7">
        <w:rPr>
          <w:rFonts w:asciiTheme="minorHAnsi" w:hAnsiTheme="minorHAnsi"/>
          <w:color w:val="000000" w:themeColor="text1"/>
          <w:sz w:val="24"/>
          <w:szCs w:val="24"/>
        </w:rPr>
        <w:t xml:space="preserve">égimen </w:t>
      </w:r>
      <w:r w:rsidR="00B30460" w:rsidRPr="00F446F7">
        <w:rPr>
          <w:rFonts w:asciiTheme="minorHAnsi" w:hAnsiTheme="minorHAnsi"/>
          <w:color w:val="000000" w:themeColor="text1"/>
          <w:sz w:val="24"/>
          <w:szCs w:val="24"/>
        </w:rPr>
        <w:t>C</w:t>
      </w:r>
      <w:r w:rsidRPr="00F446F7">
        <w:rPr>
          <w:rFonts w:asciiTheme="minorHAnsi" w:hAnsiTheme="minorHAnsi"/>
          <w:color w:val="000000" w:themeColor="text1"/>
          <w:sz w:val="24"/>
          <w:szCs w:val="24"/>
        </w:rPr>
        <w:t>omún no adherida</w:t>
      </w:r>
      <w:r w:rsidR="00B30460" w:rsidRPr="00F446F7">
        <w:rPr>
          <w:rFonts w:asciiTheme="minorHAnsi" w:hAnsiTheme="minorHAnsi"/>
          <w:color w:val="000000" w:themeColor="text1"/>
          <w:sz w:val="24"/>
          <w:szCs w:val="24"/>
        </w:rPr>
        <w:t>s</w:t>
      </w:r>
      <w:r w:rsidRPr="00F446F7">
        <w:rPr>
          <w:rFonts w:asciiTheme="minorHAnsi" w:hAnsiTheme="minorHAnsi"/>
          <w:color w:val="000000" w:themeColor="text1"/>
          <w:sz w:val="24"/>
          <w:szCs w:val="24"/>
        </w:rPr>
        <w:t xml:space="preserve"> al FLA, también se </w:t>
      </w:r>
      <w:r w:rsidR="00F17DBF">
        <w:rPr>
          <w:rFonts w:asciiTheme="minorHAnsi" w:hAnsiTheme="minorHAnsi"/>
          <w:color w:val="000000" w:themeColor="text1"/>
          <w:sz w:val="24"/>
          <w:szCs w:val="24"/>
        </w:rPr>
        <w:t>han beneficiado de una</w:t>
      </w:r>
      <w:r w:rsidRPr="00F446F7">
        <w:rPr>
          <w:rFonts w:asciiTheme="minorHAnsi" w:hAnsiTheme="minorHAnsi"/>
          <w:color w:val="000000" w:themeColor="text1"/>
          <w:sz w:val="24"/>
          <w:szCs w:val="24"/>
        </w:rPr>
        <w:t xml:space="preserve"> mayor liquidez </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1.360 m€/año</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por ampliación a 20 años de</w:t>
      </w:r>
      <w:r w:rsidR="00B30460" w:rsidRPr="00F446F7">
        <w:rPr>
          <w:rFonts w:asciiTheme="minorHAnsi" w:hAnsiTheme="minorHAnsi"/>
          <w:color w:val="000000" w:themeColor="text1"/>
          <w:sz w:val="24"/>
          <w:szCs w:val="24"/>
        </w:rPr>
        <w:t>l</w:t>
      </w:r>
      <w:r w:rsidRPr="00F446F7">
        <w:rPr>
          <w:rFonts w:asciiTheme="minorHAnsi" w:hAnsiTheme="minorHAnsi"/>
          <w:color w:val="000000" w:themeColor="text1"/>
          <w:sz w:val="24"/>
          <w:szCs w:val="24"/>
        </w:rPr>
        <w:t xml:space="preserve"> plazo de devolución de las liquidaciones negativas.</w:t>
      </w:r>
    </w:p>
    <w:p w:rsidR="0065387E" w:rsidRPr="00F446F7" w:rsidRDefault="0065387E" w:rsidP="00F446F7">
      <w:pPr>
        <w:pStyle w:val="Textoindependiente3"/>
        <w:spacing w:after="120"/>
        <w:ind w:left="1068"/>
        <w:rPr>
          <w:rFonts w:asciiTheme="minorHAnsi" w:hAnsiTheme="minorHAnsi"/>
          <w:color w:val="000000" w:themeColor="text1"/>
          <w:sz w:val="24"/>
          <w:szCs w:val="24"/>
        </w:rPr>
      </w:pPr>
    </w:p>
    <w:p w:rsidR="00BC0C7B" w:rsidRPr="00F446F7" w:rsidRDefault="00BC0C7B"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Por otra parte, </w:t>
      </w:r>
      <w:r w:rsidR="00567BEC">
        <w:rPr>
          <w:rFonts w:asciiTheme="minorHAnsi" w:hAnsiTheme="minorHAnsi"/>
          <w:color w:val="000000" w:themeColor="text1"/>
          <w:sz w:val="24"/>
          <w:szCs w:val="24"/>
        </w:rPr>
        <w:t xml:space="preserve">y </w:t>
      </w:r>
      <w:r w:rsidRPr="00F446F7">
        <w:rPr>
          <w:rFonts w:asciiTheme="minorHAnsi" w:hAnsiTheme="minorHAnsi"/>
          <w:color w:val="000000" w:themeColor="text1"/>
          <w:sz w:val="24"/>
          <w:szCs w:val="24"/>
        </w:rPr>
        <w:t>dado que el instrumento contractual</w:t>
      </w:r>
      <w:r w:rsidR="00567BEC">
        <w:rPr>
          <w:rFonts w:asciiTheme="minorHAnsi" w:hAnsiTheme="minorHAnsi"/>
          <w:color w:val="000000" w:themeColor="text1"/>
          <w:sz w:val="24"/>
          <w:szCs w:val="24"/>
        </w:rPr>
        <w:t xml:space="preserve"> operativo</w:t>
      </w:r>
      <w:r w:rsidRPr="00F446F7">
        <w:rPr>
          <w:rFonts w:asciiTheme="minorHAnsi" w:hAnsiTheme="minorHAnsi"/>
          <w:color w:val="000000" w:themeColor="text1"/>
          <w:sz w:val="24"/>
          <w:szCs w:val="24"/>
        </w:rPr>
        <w:t xml:space="preserve"> es poco flexible en el modelo concesional, la descentralización cuasi-completa de los derechos de decisión -por la transferencia de responsabilidades</w:t>
      </w:r>
      <w:r w:rsidR="00692B07" w:rsidRPr="00F446F7">
        <w:rPr>
          <w:rFonts w:asciiTheme="minorHAnsi" w:hAnsiTheme="minorHAnsi"/>
          <w:color w:val="000000" w:themeColor="text1"/>
          <w:sz w:val="24"/>
          <w:szCs w:val="24"/>
        </w:rPr>
        <w:t xml:space="preserve"> y riesgos- </w:t>
      </w:r>
      <w:r w:rsidRPr="00F446F7">
        <w:rPr>
          <w:rFonts w:asciiTheme="minorHAnsi" w:hAnsiTheme="minorHAnsi"/>
          <w:color w:val="000000" w:themeColor="text1"/>
          <w:sz w:val="24"/>
          <w:szCs w:val="24"/>
        </w:rPr>
        <w:t>a m</w:t>
      </w:r>
      <w:r w:rsidR="00263E52" w:rsidRPr="00F446F7">
        <w:rPr>
          <w:rFonts w:asciiTheme="minorHAnsi" w:hAnsiTheme="minorHAnsi"/>
          <w:color w:val="000000" w:themeColor="text1"/>
          <w:sz w:val="24"/>
          <w:szCs w:val="24"/>
        </w:rPr>
        <w:t>ercados minoristas o                                                                                                                                             secundarios</w:t>
      </w:r>
      <w:r w:rsidRPr="00F446F7">
        <w:rPr>
          <w:rFonts w:asciiTheme="minorHAnsi" w:hAnsiTheme="minorHAnsi"/>
          <w:color w:val="000000" w:themeColor="text1"/>
          <w:sz w:val="24"/>
          <w:szCs w:val="24"/>
        </w:rPr>
        <w:t xml:space="preserve">, puede generar efectos impredecibles </w:t>
      </w:r>
      <w:r w:rsidR="00692B07" w:rsidRPr="00F446F7">
        <w:rPr>
          <w:rFonts w:asciiTheme="minorHAnsi" w:hAnsiTheme="minorHAnsi"/>
          <w:color w:val="000000" w:themeColor="text1"/>
          <w:sz w:val="24"/>
          <w:szCs w:val="24"/>
        </w:rPr>
        <w:t>en</w:t>
      </w:r>
      <w:r w:rsidRPr="00F446F7">
        <w:rPr>
          <w:rFonts w:asciiTheme="minorHAnsi" w:hAnsiTheme="minorHAnsi"/>
          <w:color w:val="000000" w:themeColor="text1"/>
          <w:sz w:val="24"/>
          <w:szCs w:val="24"/>
        </w:rPr>
        <w:t xml:space="preserve"> el largo c</w:t>
      </w:r>
      <w:r w:rsidR="00692B07" w:rsidRPr="00F446F7">
        <w:rPr>
          <w:rFonts w:asciiTheme="minorHAnsi" w:hAnsiTheme="minorHAnsi"/>
          <w:color w:val="000000" w:themeColor="text1"/>
          <w:sz w:val="24"/>
          <w:szCs w:val="24"/>
        </w:rPr>
        <w:t>iclo temporal de la concesión (30 o más años)</w:t>
      </w:r>
      <w:r w:rsidR="00263E52" w:rsidRPr="00F446F7">
        <w:rPr>
          <w:rFonts w:asciiTheme="minorHAnsi" w:hAnsiTheme="minorHAnsi"/>
          <w:color w:val="000000" w:themeColor="text1"/>
          <w:sz w:val="24"/>
          <w:szCs w:val="24"/>
        </w:rPr>
        <w:t>, como</w:t>
      </w:r>
      <w:r w:rsidR="00692B07" w:rsidRPr="00F446F7">
        <w:rPr>
          <w:rFonts w:asciiTheme="minorHAnsi" w:hAnsiTheme="minorHAnsi"/>
          <w:color w:val="000000" w:themeColor="text1"/>
          <w:sz w:val="24"/>
          <w:szCs w:val="24"/>
        </w:rPr>
        <w:t xml:space="preserve"> consecuencia de</w:t>
      </w:r>
      <w:r w:rsidRPr="00F446F7">
        <w:rPr>
          <w:rFonts w:asciiTheme="minorHAnsi" w:hAnsiTheme="minorHAnsi"/>
          <w:color w:val="000000" w:themeColor="text1"/>
          <w:sz w:val="24"/>
          <w:szCs w:val="24"/>
        </w:rPr>
        <w:t xml:space="preserve"> los cambios </w:t>
      </w:r>
      <w:r w:rsidR="00263E52" w:rsidRPr="00F446F7">
        <w:rPr>
          <w:rFonts w:asciiTheme="minorHAnsi" w:hAnsiTheme="minorHAnsi"/>
          <w:color w:val="000000" w:themeColor="text1"/>
          <w:sz w:val="24"/>
          <w:szCs w:val="24"/>
        </w:rPr>
        <w:t xml:space="preserve">e incertidumbres que pueden acaecer </w:t>
      </w:r>
      <w:r w:rsidR="00663C11" w:rsidRPr="00F446F7">
        <w:rPr>
          <w:rFonts w:asciiTheme="minorHAnsi" w:hAnsiTheme="minorHAnsi"/>
          <w:color w:val="000000" w:themeColor="text1"/>
          <w:sz w:val="24"/>
          <w:szCs w:val="24"/>
        </w:rPr>
        <w:t xml:space="preserve">en el ámbito de la economía </w:t>
      </w:r>
      <w:r w:rsidRPr="00F446F7">
        <w:rPr>
          <w:rFonts w:asciiTheme="minorHAnsi" w:hAnsiTheme="minorHAnsi"/>
          <w:color w:val="000000" w:themeColor="text1"/>
          <w:sz w:val="24"/>
          <w:szCs w:val="24"/>
        </w:rPr>
        <w:t xml:space="preserve">y de </w:t>
      </w:r>
      <w:r w:rsidR="00692B07" w:rsidRPr="00F446F7">
        <w:rPr>
          <w:rFonts w:asciiTheme="minorHAnsi" w:hAnsiTheme="minorHAnsi"/>
          <w:color w:val="000000" w:themeColor="text1"/>
          <w:sz w:val="24"/>
          <w:szCs w:val="24"/>
        </w:rPr>
        <w:t>otros</w:t>
      </w:r>
      <w:r w:rsidRPr="00F446F7">
        <w:rPr>
          <w:rFonts w:asciiTheme="minorHAnsi" w:hAnsiTheme="minorHAnsi"/>
          <w:color w:val="000000" w:themeColor="text1"/>
          <w:sz w:val="24"/>
          <w:szCs w:val="24"/>
        </w:rPr>
        <w:t xml:space="preserve"> factores tecnológicos, </w:t>
      </w:r>
      <w:r w:rsidR="00692B07" w:rsidRPr="00F446F7">
        <w:rPr>
          <w:rFonts w:asciiTheme="minorHAnsi" w:hAnsiTheme="minorHAnsi"/>
          <w:color w:val="000000" w:themeColor="text1"/>
          <w:sz w:val="24"/>
          <w:szCs w:val="24"/>
        </w:rPr>
        <w:lastRenderedPageBreak/>
        <w:t xml:space="preserve">regulatorios, financieros, </w:t>
      </w:r>
      <w:r w:rsidRPr="00F446F7">
        <w:rPr>
          <w:rFonts w:asciiTheme="minorHAnsi" w:hAnsiTheme="minorHAnsi"/>
          <w:color w:val="000000" w:themeColor="text1"/>
          <w:sz w:val="24"/>
          <w:szCs w:val="24"/>
        </w:rPr>
        <w:t>organizativos y sociales</w:t>
      </w:r>
      <w:r w:rsidR="005C7205" w:rsidRPr="00F446F7">
        <w:rPr>
          <w:rFonts w:asciiTheme="minorHAnsi" w:hAnsiTheme="minorHAnsi"/>
          <w:color w:val="000000" w:themeColor="text1"/>
          <w:sz w:val="24"/>
          <w:szCs w:val="24"/>
        </w:rPr>
        <w:t xml:space="preserve">; </w:t>
      </w:r>
      <w:r w:rsidR="00263E52" w:rsidRPr="00F446F7">
        <w:rPr>
          <w:rFonts w:asciiTheme="minorHAnsi" w:hAnsiTheme="minorHAnsi"/>
          <w:color w:val="000000" w:themeColor="text1"/>
          <w:sz w:val="24"/>
          <w:szCs w:val="24"/>
        </w:rPr>
        <w:t xml:space="preserve"> y todo ello</w:t>
      </w:r>
      <w:r w:rsidR="00B30460" w:rsidRPr="00F446F7">
        <w:rPr>
          <w:rFonts w:asciiTheme="minorHAnsi" w:hAnsiTheme="minorHAnsi"/>
          <w:color w:val="000000" w:themeColor="text1"/>
          <w:sz w:val="24"/>
          <w:szCs w:val="24"/>
        </w:rPr>
        <w:t>,</w:t>
      </w:r>
      <w:r w:rsidR="00263E52" w:rsidRPr="00F446F7">
        <w:rPr>
          <w:rFonts w:asciiTheme="minorHAnsi" w:hAnsiTheme="minorHAnsi"/>
          <w:color w:val="000000" w:themeColor="text1"/>
          <w:sz w:val="24"/>
          <w:szCs w:val="24"/>
        </w:rPr>
        <w:t xml:space="preserve"> </w:t>
      </w:r>
      <w:r w:rsidR="005C7205" w:rsidRPr="00F446F7">
        <w:rPr>
          <w:rFonts w:asciiTheme="minorHAnsi" w:hAnsiTheme="minorHAnsi"/>
          <w:color w:val="000000" w:themeColor="text1"/>
          <w:sz w:val="24"/>
          <w:szCs w:val="24"/>
        </w:rPr>
        <w:t>m</w:t>
      </w:r>
      <w:r w:rsidR="00692B07" w:rsidRPr="00F446F7">
        <w:rPr>
          <w:rFonts w:asciiTheme="minorHAnsi" w:hAnsiTheme="minorHAnsi"/>
          <w:color w:val="000000" w:themeColor="text1"/>
          <w:sz w:val="24"/>
          <w:szCs w:val="24"/>
        </w:rPr>
        <w:t xml:space="preserve">ás allá de las propias garantías </w:t>
      </w:r>
      <w:r w:rsidR="00567BEC">
        <w:rPr>
          <w:rFonts w:asciiTheme="minorHAnsi" w:hAnsiTheme="minorHAnsi"/>
          <w:color w:val="000000" w:themeColor="text1"/>
          <w:sz w:val="24"/>
          <w:szCs w:val="24"/>
        </w:rPr>
        <w:t>que exige la buena gobernanza pública</w:t>
      </w:r>
      <w:r w:rsidRPr="00F446F7">
        <w:rPr>
          <w:rFonts w:asciiTheme="minorHAnsi" w:hAnsiTheme="minorHAnsi"/>
          <w:color w:val="000000" w:themeColor="text1"/>
          <w:sz w:val="24"/>
          <w:szCs w:val="24"/>
        </w:rPr>
        <w:t xml:space="preserve"> y </w:t>
      </w:r>
      <w:r w:rsidR="00692B07" w:rsidRPr="00F446F7">
        <w:rPr>
          <w:rFonts w:asciiTheme="minorHAnsi" w:hAnsiTheme="minorHAnsi"/>
          <w:color w:val="000000" w:themeColor="text1"/>
          <w:sz w:val="24"/>
          <w:szCs w:val="24"/>
        </w:rPr>
        <w:t xml:space="preserve">del </w:t>
      </w:r>
      <w:r w:rsidR="00DC1179" w:rsidRPr="00F446F7">
        <w:rPr>
          <w:rFonts w:asciiTheme="minorHAnsi" w:hAnsiTheme="minorHAnsi"/>
          <w:color w:val="000000" w:themeColor="text1"/>
          <w:sz w:val="24"/>
          <w:szCs w:val="24"/>
        </w:rPr>
        <w:t xml:space="preserve">difícil </w:t>
      </w:r>
      <w:r w:rsidRPr="00F446F7">
        <w:rPr>
          <w:rFonts w:asciiTheme="minorHAnsi" w:hAnsiTheme="minorHAnsi"/>
          <w:color w:val="000000" w:themeColor="text1"/>
          <w:sz w:val="24"/>
          <w:szCs w:val="24"/>
        </w:rPr>
        <w:t xml:space="preserve">control de la Administración para </w:t>
      </w:r>
      <w:r w:rsidR="00671D2B">
        <w:rPr>
          <w:rFonts w:asciiTheme="minorHAnsi" w:hAnsiTheme="minorHAnsi"/>
          <w:color w:val="000000" w:themeColor="text1"/>
          <w:sz w:val="24"/>
          <w:szCs w:val="24"/>
        </w:rPr>
        <w:t xml:space="preserve">determinados </w:t>
      </w:r>
      <w:r w:rsidRPr="00F446F7">
        <w:rPr>
          <w:rFonts w:asciiTheme="minorHAnsi" w:hAnsiTheme="minorHAnsi"/>
          <w:color w:val="000000" w:themeColor="text1"/>
          <w:sz w:val="24"/>
          <w:szCs w:val="24"/>
        </w:rPr>
        <w:t xml:space="preserve">activos de propiedad privada. </w:t>
      </w:r>
    </w:p>
    <w:p w:rsidR="00BC0C7B" w:rsidRPr="00F446F7" w:rsidRDefault="00BC0C7B"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Se acep</w:t>
      </w:r>
      <w:r w:rsidR="00F674A8" w:rsidRPr="00F446F7">
        <w:rPr>
          <w:rFonts w:asciiTheme="minorHAnsi" w:hAnsiTheme="minorHAnsi"/>
          <w:color w:val="000000" w:themeColor="text1"/>
          <w:sz w:val="24"/>
          <w:szCs w:val="24"/>
        </w:rPr>
        <w:t xml:space="preserve">ta en general que los sistemas </w:t>
      </w:r>
      <w:r w:rsidR="00263E52" w:rsidRPr="00F446F7">
        <w:rPr>
          <w:rFonts w:asciiTheme="minorHAnsi" w:hAnsiTheme="minorHAnsi"/>
          <w:color w:val="000000" w:themeColor="text1"/>
          <w:sz w:val="24"/>
          <w:szCs w:val="24"/>
        </w:rPr>
        <w:t xml:space="preserve">concesionales </w:t>
      </w:r>
      <w:r w:rsidR="00B30460" w:rsidRPr="00F446F7">
        <w:rPr>
          <w:rFonts w:asciiTheme="minorHAnsi" w:hAnsiTheme="minorHAnsi"/>
          <w:color w:val="000000" w:themeColor="text1"/>
          <w:sz w:val="24"/>
          <w:szCs w:val="24"/>
        </w:rPr>
        <w:t xml:space="preserve">–tipo </w:t>
      </w:r>
      <w:r w:rsidR="00F674A8" w:rsidRPr="00F446F7">
        <w:rPr>
          <w:rFonts w:asciiTheme="minorHAnsi" w:hAnsiTheme="minorHAnsi"/>
          <w:color w:val="000000" w:themeColor="text1"/>
          <w:sz w:val="24"/>
          <w:szCs w:val="24"/>
        </w:rPr>
        <w:t>PFI</w:t>
      </w:r>
      <w:r w:rsidRPr="00F446F7">
        <w:rPr>
          <w:rFonts w:asciiTheme="minorHAnsi" w:hAnsiTheme="minorHAnsi"/>
          <w:color w:val="000000" w:themeColor="text1"/>
          <w:sz w:val="24"/>
          <w:szCs w:val="24"/>
        </w:rPr>
        <w:t xml:space="preserve"> generan costes superiores en el largo plazo en comparación al sistema </w:t>
      </w:r>
      <w:r w:rsidR="00663C11" w:rsidRPr="00F446F7">
        <w:rPr>
          <w:rFonts w:asciiTheme="minorHAnsi" w:hAnsiTheme="minorHAnsi"/>
          <w:color w:val="000000" w:themeColor="text1"/>
          <w:sz w:val="24"/>
          <w:szCs w:val="24"/>
        </w:rPr>
        <w:t xml:space="preserve">público </w:t>
      </w:r>
      <w:r w:rsidRPr="00F446F7">
        <w:rPr>
          <w:rFonts w:asciiTheme="minorHAnsi" w:hAnsiTheme="minorHAnsi"/>
          <w:color w:val="000000" w:themeColor="text1"/>
          <w:sz w:val="24"/>
          <w:szCs w:val="24"/>
        </w:rPr>
        <w:t>tradicional</w:t>
      </w:r>
      <w:r w:rsidR="00663C11" w:rsidRPr="00F446F7">
        <w:rPr>
          <w:rFonts w:asciiTheme="minorHAnsi" w:hAnsiTheme="minorHAnsi"/>
          <w:color w:val="000000" w:themeColor="text1"/>
          <w:sz w:val="24"/>
          <w:szCs w:val="24"/>
        </w:rPr>
        <w:t xml:space="preserve"> de end</w:t>
      </w:r>
      <w:r w:rsidR="008B5F8F" w:rsidRPr="00F446F7">
        <w:rPr>
          <w:rFonts w:asciiTheme="minorHAnsi" w:hAnsiTheme="minorHAnsi"/>
          <w:color w:val="000000" w:themeColor="text1"/>
          <w:sz w:val="24"/>
          <w:szCs w:val="24"/>
        </w:rPr>
        <w:t>eudamiento</w:t>
      </w:r>
      <w:r w:rsidR="00F674A8" w:rsidRPr="00F446F7">
        <w:rPr>
          <w:rFonts w:asciiTheme="minorHAnsi" w:hAnsiTheme="minorHAnsi"/>
          <w:color w:val="000000" w:themeColor="text1"/>
          <w:sz w:val="24"/>
          <w:szCs w:val="24"/>
        </w:rPr>
        <w:t xml:space="preserve">, además de que </w:t>
      </w:r>
      <w:r w:rsidRPr="00F446F7">
        <w:rPr>
          <w:rFonts w:asciiTheme="minorHAnsi" w:hAnsiTheme="minorHAnsi"/>
          <w:color w:val="000000" w:themeColor="text1"/>
          <w:sz w:val="24"/>
          <w:szCs w:val="24"/>
        </w:rPr>
        <w:t xml:space="preserve">el riesgo financiero para la Administración </w:t>
      </w:r>
      <w:r w:rsidR="00F674A8" w:rsidRPr="00F446F7">
        <w:rPr>
          <w:rFonts w:asciiTheme="minorHAnsi" w:hAnsiTheme="minorHAnsi"/>
          <w:color w:val="000000" w:themeColor="text1"/>
          <w:sz w:val="24"/>
          <w:szCs w:val="24"/>
        </w:rPr>
        <w:t xml:space="preserve">Pública </w:t>
      </w:r>
      <w:r w:rsidRPr="00F446F7">
        <w:rPr>
          <w:rFonts w:asciiTheme="minorHAnsi" w:hAnsiTheme="minorHAnsi"/>
          <w:color w:val="000000" w:themeColor="text1"/>
          <w:sz w:val="24"/>
          <w:szCs w:val="24"/>
        </w:rPr>
        <w:t xml:space="preserve">en un </w:t>
      </w:r>
      <w:r w:rsidR="00671D2B">
        <w:rPr>
          <w:rFonts w:asciiTheme="minorHAnsi" w:hAnsiTheme="minorHAnsi"/>
          <w:color w:val="000000" w:themeColor="text1"/>
          <w:sz w:val="24"/>
          <w:szCs w:val="24"/>
        </w:rPr>
        <w:t>período</w:t>
      </w:r>
      <w:r w:rsidRPr="00F446F7">
        <w:rPr>
          <w:rFonts w:asciiTheme="minorHAnsi" w:hAnsiTheme="minorHAnsi"/>
          <w:color w:val="000000" w:themeColor="text1"/>
          <w:sz w:val="24"/>
          <w:szCs w:val="24"/>
        </w:rPr>
        <w:t xml:space="preserve"> temporal de colaboración tan amplio </w:t>
      </w:r>
      <w:r w:rsidR="00F674A8" w:rsidRPr="00F446F7">
        <w:rPr>
          <w:rFonts w:asciiTheme="minorHAnsi" w:hAnsiTheme="minorHAnsi"/>
          <w:color w:val="000000" w:themeColor="text1"/>
          <w:sz w:val="24"/>
          <w:szCs w:val="24"/>
        </w:rPr>
        <w:t xml:space="preserve">puede ser </w:t>
      </w:r>
      <w:r w:rsidRPr="00F446F7">
        <w:rPr>
          <w:rFonts w:asciiTheme="minorHAnsi" w:hAnsiTheme="minorHAnsi"/>
          <w:color w:val="000000" w:themeColor="text1"/>
          <w:sz w:val="24"/>
          <w:szCs w:val="24"/>
        </w:rPr>
        <w:t>de difícil valoración</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w:t>
      </w:r>
      <w:r w:rsidR="00263E52" w:rsidRPr="00F446F7">
        <w:rPr>
          <w:rFonts w:asciiTheme="minorHAnsi" w:hAnsiTheme="minorHAnsi"/>
          <w:color w:val="000000" w:themeColor="text1"/>
          <w:sz w:val="24"/>
          <w:szCs w:val="24"/>
        </w:rPr>
        <w:t xml:space="preserve"> tanto en </w:t>
      </w:r>
      <w:r w:rsidR="00B30460" w:rsidRPr="00F446F7">
        <w:rPr>
          <w:rFonts w:asciiTheme="minorHAnsi" w:hAnsiTheme="minorHAnsi"/>
          <w:color w:val="000000" w:themeColor="text1"/>
          <w:sz w:val="24"/>
          <w:szCs w:val="24"/>
        </w:rPr>
        <w:t xml:space="preserve">la </w:t>
      </w:r>
      <w:r w:rsidR="00263E52" w:rsidRPr="00F446F7">
        <w:rPr>
          <w:rFonts w:asciiTheme="minorHAnsi" w:hAnsiTheme="minorHAnsi"/>
          <w:color w:val="000000" w:themeColor="text1"/>
          <w:sz w:val="24"/>
          <w:szCs w:val="24"/>
        </w:rPr>
        <w:t>estimaci</w:t>
      </w:r>
      <w:r w:rsidR="00B30460" w:rsidRPr="00F446F7">
        <w:rPr>
          <w:rFonts w:asciiTheme="minorHAnsi" w:hAnsiTheme="minorHAnsi"/>
          <w:color w:val="000000" w:themeColor="text1"/>
          <w:sz w:val="24"/>
          <w:szCs w:val="24"/>
        </w:rPr>
        <w:t>ón</w:t>
      </w:r>
      <w:r w:rsidR="00263E52" w:rsidRPr="00F446F7">
        <w:rPr>
          <w:rFonts w:asciiTheme="minorHAnsi" w:hAnsiTheme="minorHAnsi"/>
          <w:color w:val="000000" w:themeColor="text1"/>
          <w:sz w:val="24"/>
          <w:szCs w:val="24"/>
        </w:rPr>
        <w:t xml:space="preserve"> de </w:t>
      </w:r>
      <w:r w:rsidR="00B30460" w:rsidRPr="00F446F7">
        <w:rPr>
          <w:rFonts w:asciiTheme="minorHAnsi" w:hAnsiTheme="minorHAnsi"/>
          <w:color w:val="000000" w:themeColor="text1"/>
          <w:sz w:val="24"/>
          <w:szCs w:val="24"/>
        </w:rPr>
        <w:t xml:space="preserve"> costes del capital</w:t>
      </w:r>
      <w:r w:rsidR="00671D2B">
        <w:rPr>
          <w:rFonts w:asciiTheme="minorHAnsi" w:hAnsiTheme="minorHAnsi"/>
          <w:color w:val="000000" w:themeColor="text1"/>
          <w:sz w:val="24"/>
          <w:szCs w:val="24"/>
        </w:rPr>
        <w:t>,</w:t>
      </w:r>
      <w:r w:rsidR="00263E52" w:rsidRPr="00F446F7">
        <w:rPr>
          <w:rFonts w:asciiTheme="minorHAnsi" w:hAnsiTheme="minorHAnsi"/>
          <w:color w:val="000000" w:themeColor="text1"/>
          <w:sz w:val="24"/>
          <w:szCs w:val="24"/>
        </w:rPr>
        <w:t xml:space="preserve"> como en el </w:t>
      </w:r>
      <w:r w:rsidR="00B30460" w:rsidRPr="00F446F7">
        <w:rPr>
          <w:rFonts w:asciiTheme="minorHAnsi" w:hAnsiTheme="minorHAnsi"/>
          <w:color w:val="000000" w:themeColor="text1"/>
          <w:sz w:val="24"/>
          <w:szCs w:val="24"/>
        </w:rPr>
        <w:t xml:space="preserve">canon </w:t>
      </w:r>
      <w:r w:rsidR="00263E52" w:rsidRPr="00F446F7">
        <w:rPr>
          <w:rFonts w:asciiTheme="minorHAnsi" w:hAnsiTheme="minorHAnsi"/>
          <w:color w:val="000000" w:themeColor="text1"/>
          <w:sz w:val="24"/>
          <w:szCs w:val="24"/>
        </w:rPr>
        <w:t xml:space="preserve">establecido en los contratos. </w:t>
      </w:r>
    </w:p>
    <w:p w:rsidR="00DB5BCD" w:rsidRPr="00F446F7" w:rsidRDefault="00B64CC7"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Además</w:t>
      </w:r>
      <w:r w:rsidR="00B30460" w:rsidRPr="00F446F7">
        <w:rPr>
          <w:rFonts w:asciiTheme="minorHAnsi" w:hAnsiTheme="minorHAnsi"/>
          <w:color w:val="000000" w:themeColor="text1"/>
          <w:sz w:val="24"/>
          <w:szCs w:val="24"/>
        </w:rPr>
        <w:t>, e</w:t>
      </w:r>
      <w:r w:rsidR="00DB5BCD" w:rsidRPr="00F446F7">
        <w:rPr>
          <w:rFonts w:asciiTheme="minorHAnsi" w:hAnsiTheme="minorHAnsi"/>
          <w:color w:val="000000" w:themeColor="text1"/>
          <w:sz w:val="24"/>
          <w:szCs w:val="24"/>
        </w:rPr>
        <w:t>n inversiones de hospitales modelo PFI,  los costes de coordinación</w:t>
      </w:r>
      <w:r w:rsidR="008B5F8F" w:rsidRPr="00F446F7">
        <w:rPr>
          <w:rFonts w:asciiTheme="minorHAnsi" w:hAnsiTheme="minorHAnsi"/>
          <w:color w:val="000000" w:themeColor="text1"/>
          <w:sz w:val="24"/>
          <w:szCs w:val="24"/>
        </w:rPr>
        <w:t xml:space="preserve"> y</w:t>
      </w:r>
      <w:r w:rsidR="00DB5BCD" w:rsidRPr="00F446F7">
        <w:rPr>
          <w:rFonts w:asciiTheme="minorHAnsi" w:hAnsiTheme="minorHAnsi"/>
          <w:color w:val="000000" w:themeColor="text1"/>
          <w:sz w:val="24"/>
          <w:szCs w:val="24"/>
        </w:rPr>
        <w:t xml:space="preserve"> control del proyecto,</w:t>
      </w:r>
      <w:r w:rsidR="00B30460" w:rsidRPr="00F446F7">
        <w:rPr>
          <w:rFonts w:asciiTheme="minorHAnsi" w:hAnsiTheme="minorHAnsi"/>
          <w:color w:val="000000" w:themeColor="text1"/>
          <w:sz w:val="24"/>
          <w:szCs w:val="24"/>
        </w:rPr>
        <w:t xml:space="preserve"> el proceso de </w:t>
      </w:r>
      <w:r w:rsidR="00DB5BCD" w:rsidRPr="00F446F7">
        <w:rPr>
          <w:rFonts w:asciiTheme="minorHAnsi" w:hAnsiTheme="minorHAnsi"/>
          <w:color w:val="000000" w:themeColor="text1"/>
          <w:sz w:val="24"/>
          <w:szCs w:val="24"/>
        </w:rPr>
        <w:t xml:space="preserve"> intermediación </w:t>
      </w:r>
      <w:proofErr w:type="spellStart"/>
      <w:r w:rsidR="00DB5BCD" w:rsidRPr="00F446F7">
        <w:rPr>
          <w:rFonts w:asciiTheme="minorHAnsi" w:hAnsiTheme="minorHAnsi"/>
          <w:color w:val="000000" w:themeColor="text1"/>
          <w:sz w:val="24"/>
          <w:szCs w:val="24"/>
        </w:rPr>
        <w:t>agencial</w:t>
      </w:r>
      <w:proofErr w:type="spellEnd"/>
      <w:r w:rsidR="00DB5BCD" w:rsidRPr="00F446F7">
        <w:rPr>
          <w:rFonts w:asciiTheme="minorHAnsi" w:hAnsiTheme="minorHAnsi"/>
          <w:color w:val="000000" w:themeColor="text1"/>
          <w:sz w:val="24"/>
          <w:szCs w:val="24"/>
        </w:rPr>
        <w:t xml:space="preserve">  y </w:t>
      </w:r>
      <w:r w:rsidR="00B30460" w:rsidRPr="00F446F7">
        <w:rPr>
          <w:rFonts w:asciiTheme="minorHAnsi" w:hAnsiTheme="minorHAnsi"/>
          <w:color w:val="000000" w:themeColor="text1"/>
          <w:sz w:val="24"/>
          <w:szCs w:val="24"/>
        </w:rPr>
        <w:t xml:space="preserve">las </w:t>
      </w:r>
      <w:r w:rsidR="00DB5BCD" w:rsidRPr="00F446F7">
        <w:rPr>
          <w:rFonts w:asciiTheme="minorHAnsi" w:hAnsiTheme="minorHAnsi"/>
          <w:color w:val="000000" w:themeColor="text1"/>
          <w:sz w:val="24"/>
          <w:szCs w:val="24"/>
        </w:rPr>
        <w:t xml:space="preserve">transacciones operativas </w:t>
      </w:r>
      <w:r w:rsidRPr="00F446F7">
        <w:rPr>
          <w:rFonts w:asciiTheme="minorHAnsi" w:hAnsiTheme="minorHAnsi"/>
          <w:color w:val="000000" w:themeColor="text1"/>
          <w:sz w:val="24"/>
          <w:szCs w:val="24"/>
        </w:rPr>
        <w:t xml:space="preserve">en </w:t>
      </w:r>
      <w:r w:rsidR="00DB5BCD" w:rsidRPr="00F446F7">
        <w:rPr>
          <w:rFonts w:asciiTheme="minorHAnsi" w:hAnsiTheme="minorHAnsi"/>
          <w:color w:val="000000" w:themeColor="text1"/>
          <w:sz w:val="24"/>
          <w:szCs w:val="24"/>
        </w:rPr>
        <w:t xml:space="preserve">el </w:t>
      </w:r>
      <w:r w:rsidR="00B30460" w:rsidRPr="00F446F7">
        <w:rPr>
          <w:rFonts w:asciiTheme="minorHAnsi" w:hAnsiTheme="minorHAnsi"/>
          <w:color w:val="000000" w:themeColor="text1"/>
          <w:sz w:val="24"/>
          <w:szCs w:val="24"/>
        </w:rPr>
        <w:t>ciclo</w:t>
      </w:r>
      <w:r w:rsidR="00DB5BCD" w:rsidRPr="00F446F7">
        <w:rPr>
          <w:rFonts w:asciiTheme="minorHAnsi" w:hAnsiTheme="minorHAnsi"/>
          <w:color w:val="000000" w:themeColor="text1"/>
          <w:sz w:val="24"/>
          <w:szCs w:val="24"/>
        </w:rPr>
        <w:t xml:space="preserve"> de contratación (Gráfico</w:t>
      </w:r>
      <w:r w:rsidRPr="00F446F7">
        <w:rPr>
          <w:rFonts w:asciiTheme="minorHAnsi" w:hAnsiTheme="minorHAnsi"/>
          <w:color w:val="000000" w:themeColor="text1"/>
          <w:sz w:val="24"/>
          <w:szCs w:val="24"/>
        </w:rPr>
        <w:t>1</w:t>
      </w:r>
      <w:r w:rsidR="00DB5BCD" w:rsidRPr="00F446F7">
        <w:rPr>
          <w:rFonts w:asciiTheme="minorHAnsi" w:hAnsiTheme="minorHAnsi"/>
          <w:color w:val="000000" w:themeColor="text1"/>
          <w:sz w:val="24"/>
          <w:szCs w:val="24"/>
        </w:rPr>
        <w:t>), junto al s</w:t>
      </w:r>
      <w:r w:rsidR="008B5F8F" w:rsidRPr="00F446F7">
        <w:rPr>
          <w:rFonts w:asciiTheme="minorHAnsi" w:hAnsiTheme="minorHAnsi"/>
          <w:color w:val="000000" w:themeColor="text1"/>
          <w:sz w:val="24"/>
          <w:szCs w:val="24"/>
        </w:rPr>
        <w:t>obre</w:t>
      </w:r>
      <w:r w:rsidR="00DB5BCD" w:rsidRPr="00F446F7">
        <w:rPr>
          <w:rFonts w:asciiTheme="minorHAnsi" w:hAnsiTheme="minorHAnsi"/>
          <w:color w:val="000000" w:themeColor="text1"/>
          <w:sz w:val="24"/>
          <w:szCs w:val="24"/>
        </w:rPr>
        <w:t xml:space="preserve">coste </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ya referido</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w:t>
      </w:r>
      <w:r w:rsidR="00DB5BCD" w:rsidRPr="00F446F7">
        <w:rPr>
          <w:rFonts w:asciiTheme="minorHAnsi" w:hAnsiTheme="minorHAnsi"/>
          <w:color w:val="000000" w:themeColor="text1"/>
          <w:sz w:val="24"/>
          <w:szCs w:val="24"/>
        </w:rPr>
        <w:t xml:space="preserve">de la financiación privada </w:t>
      </w:r>
      <w:r w:rsidR="00B30460" w:rsidRPr="00F446F7">
        <w:rPr>
          <w:rFonts w:asciiTheme="minorHAnsi" w:hAnsiTheme="minorHAnsi"/>
          <w:color w:val="000000" w:themeColor="text1"/>
          <w:sz w:val="24"/>
          <w:szCs w:val="24"/>
        </w:rPr>
        <w:t>de la infraestructu</w:t>
      </w:r>
      <w:r w:rsidRPr="00F446F7">
        <w:rPr>
          <w:rFonts w:asciiTheme="minorHAnsi" w:hAnsiTheme="minorHAnsi"/>
          <w:color w:val="000000" w:themeColor="text1"/>
          <w:sz w:val="24"/>
          <w:szCs w:val="24"/>
        </w:rPr>
        <w:t xml:space="preserve">ra </w:t>
      </w:r>
      <w:r w:rsidR="00DB5BCD" w:rsidRPr="00F446F7">
        <w:rPr>
          <w:rFonts w:asciiTheme="minorHAnsi" w:hAnsiTheme="minorHAnsi"/>
          <w:color w:val="000000" w:themeColor="text1"/>
          <w:sz w:val="24"/>
          <w:szCs w:val="24"/>
        </w:rPr>
        <w:t>en condiciones de mercado, ponen también de manifiesto que esta alternativa es notablemente</w:t>
      </w:r>
      <w:r w:rsidR="00B30460" w:rsidRPr="00F446F7">
        <w:rPr>
          <w:rFonts w:asciiTheme="minorHAnsi" w:hAnsiTheme="minorHAnsi"/>
          <w:color w:val="000000" w:themeColor="text1"/>
          <w:sz w:val="24"/>
          <w:szCs w:val="24"/>
        </w:rPr>
        <w:t xml:space="preserve"> más</w:t>
      </w:r>
      <w:r w:rsidR="00DB5BCD" w:rsidRPr="00F446F7">
        <w:rPr>
          <w:rFonts w:asciiTheme="minorHAnsi" w:hAnsiTheme="minorHAnsi"/>
          <w:color w:val="000000" w:themeColor="text1"/>
          <w:sz w:val="24"/>
          <w:szCs w:val="24"/>
        </w:rPr>
        <w:t xml:space="preserve"> ineficiente </w:t>
      </w:r>
      <w:r w:rsidR="00B30460" w:rsidRPr="00F446F7">
        <w:rPr>
          <w:rFonts w:asciiTheme="minorHAnsi" w:hAnsiTheme="minorHAnsi"/>
          <w:color w:val="000000" w:themeColor="text1"/>
          <w:sz w:val="24"/>
          <w:szCs w:val="24"/>
        </w:rPr>
        <w:t xml:space="preserve">–en costes </w:t>
      </w:r>
      <w:r w:rsidRPr="00F446F7">
        <w:rPr>
          <w:rFonts w:asciiTheme="minorHAnsi" w:hAnsiTheme="minorHAnsi"/>
          <w:color w:val="000000" w:themeColor="text1"/>
          <w:sz w:val="24"/>
          <w:szCs w:val="24"/>
        </w:rPr>
        <w:t>y socialmente</w:t>
      </w:r>
      <w:r w:rsidR="00B3046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w:t>
      </w:r>
      <w:r w:rsidR="00DB5BCD" w:rsidRPr="00F446F7">
        <w:rPr>
          <w:rFonts w:asciiTheme="minorHAnsi" w:hAnsiTheme="minorHAnsi"/>
          <w:color w:val="000000" w:themeColor="text1"/>
          <w:sz w:val="24"/>
          <w:szCs w:val="24"/>
        </w:rPr>
        <w:t>para las Administraciones Públicas.</w:t>
      </w:r>
    </w:p>
    <w:p w:rsidR="00DB5BCD" w:rsidRPr="00F446F7" w:rsidRDefault="00DB5BCD" w:rsidP="00F446F7">
      <w:pPr>
        <w:pStyle w:val="Textoindependiente3"/>
        <w:spacing w:after="120"/>
        <w:rPr>
          <w:rFonts w:asciiTheme="minorHAnsi" w:hAnsiTheme="minorHAnsi"/>
          <w:b/>
          <w:color w:val="000000" w:themeColor="text1"/>
          <w:sz w:val="24"/>
          <w:szCs w:val="24"/>
        </w:rPr>
      </w:pPr>
      <w:r w:rsidRPr="00F446F7">
        <w:rPr>
          <w:rFonts w:asciiTheme="minorHAnsi" w:hAnsiTheme="minorHAnsi"/>
          <w:b/>
          <w:sz w:val="24"/>
          <w:szCs w:val="24"/>
        </w:rPr>
        <w:t xml:space="preserve">Gráfico </w:t>
      </w:r>
      <w:r w:rsidR="00B64CC7" w:rsidRPr="00F446F7">
        <w:rPr>
          <w:rFonts w:asciiTheme="minorHAnsi" w:hAnsiTheme="minorHAnsi"/>
          <w:b/>
          <w:sz w:val="24"/>
          <w:szCs w:val="24"/>
        </w:rPr>
        <w:t>1</w:t>
      </w:r>
      <w:r w:rsidRPr="00F446F7">
        <w:rPr>
          <w:rFonts w:asciiTheme="minorHAnsi" w:hAnsiTheme="minorHAnsi"/>
          <w:b/>
          <w:sz w:val="24"/>
          <w:szCs w:val="24"/>
        </w:rPr>
        <w:t xml:space="preserve">: </w:t>
      </w:r>
      <w:r w:rsidRPr="00F446F7">
        <w:rPr>
          <w:rFonts w:asciiTheme="minorHAnsi" w:hAnsiTheme="minorHAnsi"/>
          <w:b/>
          <w:color w:val="000000" w:themeColor="text1"/>
          <w:sz w:val="24"/>
          <w:szCs w:val="24"/>
        </w:rPr>
        <w:t>Costes del proceso contractual como porcentaje de los costes totales del proyecto PFI</w:t>
      </w:r>
    </w:p>
    <w:p w:rsidR="00DB5BCD" w:rsidRPr="00F446F7" w:rsidRDefault="00DB5BCD" w:rsidP="00F446F7">
      <w:pPr>
        <w:pStyle w:val="Textoindependiente3"/>
        <w:spacing w:after="120"/>
        <w:rPr>
          <w:rFonts w:asciiTheme="minorHAnsi" w:hAnsiTheme="minorHAnsi"/>
          <w:color w:val="000000" w:themeColor="text1"/>
          <w:sz w:val="24"/>
          <w:szCs w:val="24"/>
        </w:rPr>
      </w:pPr>
      <w:r w:rsidRPr="00F446F7">
        <w:rPr>
          <w:rFonts w:asciiTheme="minorHAnsi" w:hAnsiTheme="minorHAnsi"/>
          <w:noProof/>
          <w:color w:val="000000" w:themeColor="text1"/>
          <w:sz w:val="24"/>
          <w:szCs w:val="24"/>
        </w:rPr>
        <w:drawing>
          <wp:inline distT="0" distB="0" distL="0" distR="0" wp14:anchorId="5E835D85" wp14:editId="70A7A263">
            <wp:extent cx="4914900" cy="2390775"/>
            <wp:effectExtent l="0" t="0" r="0" b="9525"/>
            <wp:docPr id="2" name="Imagen 2" descr="P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I"/>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8800"/>
                              </a14:imgEffect>
                            </a14:imgLayer>
                          </a14:imgProps>
                        </a:ext>
                        <a:ext uri="{28A0092B-C50C-407E-A947-70E740481C1C}">
                          <a14:useLocalDpi xmlns:a14="http://schemas.microsoft.com/office/drawing/2010/main" val="0"/>
                        </a:ext>
                      </a:extLst>
                    </a:blip>
                    <a:srcRect l="5176" t="15228" r="3882" b="9576"/>
                    <a:stretch>
                      <a:fillRect/>
                    </a:stretch>
                  </pic:blipFill>
                  <pic:spPr bwMode="auto">
                    <a:xfrm>
                      <a:off x="0" y="0"/>
                      <a:ext cx="4914900" cy="2390775"/>
                    </a:xfrm>
                    <a:prstGeom prst="rect">
                      <a:avLst/>
                    </a:prstGeom>
                    <a:noFill/>
                    <a:ln>
                      <a:noFill/>
                    </a:ln>
                  </pic:spPr>
                </pic:pic>
              </a:graphicData>
            </a:graphic>
          </wp:inline>
        </w:drawing>
      </w:r>
    </w:p>
    <w:p w:rsidR="00FC4FF1" w:rsidRPr="00F446F7" w:rsidRDefault="00671D2B" w:rsidP="00F446F7">
      <w:pPr>
        <w:pStyle w:val="Textoindependiente3"/>
        <w:spacing w:after="120"/>
        <w:rPr>
          <w:rFonts w:asciiTheme="minorHAnsi" w:hAnsiTheme="minorHAnsi"/>
          <w:color w:val="000000" w:themeColor="text1"/>
          <w:sz w:val="24"/>
          <w:szCs w:val="24"/>
        </w:rPr>
      </w:pPr>
      <w:r>
        <w:rPr>
          <w:rFonts w:asciiTheme="minorHAnsi" w:hAnsiTheme="minorHAnsi"/>
          <w:color w:val="000000" w:themeColor="text1"/>
          <w:sz w:val="24"/>
          <w:szCs w:val="24"/>
        </w:rPr>
        <w:t>Por otra parte, e</w:t>
      </w:r>
      <w:r w:rsidR="00EF3EB6" w:rsidRPr="00F446F7">
        <w:rPr>
          <w:rFonts w:asciiTheme="minorHAnsi" w:hAnsiTheme="minorHAnsi"/>
          <w:color w:val="000000" w:themeColor="text1"/>
          <w:sz w:val="24"/>
          <w:szCs w:val="24"/>
        </w:rPr>
        <w:t xml:space="preserve">n el análisis global del proceso de </w:t>
      </w:r>
      <w:r w:rsidR="00B64CC7" w:rsidRPr="00F446F7">
        <w:rPr>
          <w:rFonts w:asciiTheme="minorHAnsi" w:hAnsiTheme="minorHAnsi"/>
          <w:color w:val="000000" w:themeColor="text1"/>
          <w:sz w:val="24"/>
          <w:szCs w:val="24"/>
        </w:rPr>
        <w:t xml:space="preserve">concesión de infraestructuras </w:t>
      </w:r>
      <w:r>
        <w:rPr>
          <w:rFonts w:asciiTheme="minorHAnsi" w:hAnsiTheme="minorHAnsi"/>
          <w:color w:val="000000" w:themeColor="text1"/>
          <w:sz w:val="24"/>
          <w:szCs w:val="24"/>
        </w:rPr>
        <w:t>hospitalari</w:t>
      </w:r>
      <w:r w:rsidR="00B64CC7" w:rsidRPr="00F446F7">
        <w:rPr>
          <w:rFonts w:asciiTheme="minorHAnsi" w:hAnsiTheme="minorHAnsi"/>
          <w:color w:val="000000" w:themeColor="text1"/>
          <w:sz w:val="24"/>
          <w:szCs w:val="24"/>
        </w:rPr>
        <w:t xml:space="preserve">as desde la Administración a la iniciativa privada,  </w:t>
      </w:r>
      <w:r w:rsidR="00FC4FF1" w:rsidRPr="00F446F7">
        <w:rPr>
          <w:rFonts w:asciiTheme="minorHAnsi" w:hAnsiTheme="minorHAnsi"/>
          <w:color w:val="000000" w:themeColor="text1"/>
          <w:sz w:val="24"/>
          <w:szCs w:val="24"/>
        </w:rPr>
        <w:t xml:space="preserve">no sólo </w:t>
      </w:r>
      <w:r w:rsidR="00B64CC7" w:rsidRPr="00F446F7">
        <w:rPr>
          <w:rFonts w:asciiTheme="minorHAnsi" w:hAnsiTheme="minorHAnsi"/>
          <w:color w:val="000000" w:themeColor="text1"/>
          <w:sz w:val="24"/>
          <w:szCs w:val="24"/>
        </w:rPr>
        <w:t xml:space="preserve">deben considerarse </w:t>
      </w:r>
      <w:r w:rsidR="00FC4FF1" w:rsidRPr="00F446F7">
        <w:rPr>
          <w:rFonts w:asciiTheme="minorHAnsi" w:hAnsiTheme="minorHAnsi"/>
          <w:color w:val="000000" w:themeColor="text1"/>
          <w:sz w:val="24"/>
          <w:szCs w:val="24"/>
        </w:rPr>
        <w:t>las dimensiones de riesgo financiero y de rentabilidad de la inversión, sino también otros factores que puedan afectar a los sistemas asistenciales integrados, a las funciones secuenciales de la cadena de valor de</w:t>
      </w:r>
      <w:r w:rsidR="00B64CC7" w:rsidRPr="00F446F7">
        <w:rPr>
          <w:rFonts w:asciiTheme="minorHAnsi" w:hAnsiTheme="minorHAnsi"/>
          <w:color w:val="000000" w:themeColor="text1"/>
          <w:sz w:val="24"/>
          <w:szCs w:val="24"/>
        </w:rPr>
        <w:t xml:space="preserve"> los centros sanitarios</w:t>
      </w:r>
      <w:r w:rsidR="00FC4FF1" w:rsidRPr="00F446F7">
        <w:rPr>
          <w:rFonts w:asciiTheme="minorHAnsi" w:hAnsiTheme="minorHAnsi"/>
          <w:color w:val="000000" w:themeColor="text1"/>
          <w:sz w:val="24"/>
          <w:szCs w:val="24"/>
        </w:rPr>
        <w:t xml:space="preserve">, a los microsistemas </w:t>
      </w:r>
      <w:r w:rsidR="00CB3BB6" w:rsidRPr="00F446F7">
        <w:rPr>
          <w:rFonts w:asciiTheme="minorHAnsi" w:hAnsiTheme="minorHAnsi"/>
          <w:color w:val="000000" w:themeColor="text1"/>
          <w:sz w:val="24"/>
          <w:szCs w:val="24"/>
        </w:rPr>
        <w:t xml:space="preserve">clínicos </w:t>
      </w:r>
      <w:r w:rsidR="00FC4FF1" w:rsidRPr="00F446F7">
        <w:rPr>
          <w:rFonts w:asciiTheme="minorHAnsi" w:hAnsiTheme="minorHAnsi"/>
          <w:color w:val="000000" w:themeColor="text1"/>
          <w:sz w:val="24"/>
          <w:szCs w:val="24"/>
        </w:rPr>
        <w:t xml:space="preserve">que custodian las bases de experiencia y las </w:t>
      </w:r>
      <w:proofErr w:type="spellStart"/>
      <w:r w:rsidR="00FC4FF1" w:rsidRPr="00F446F7">
        <w:rPr>
          <w:rFonts w:asciiTheme="minorHAnsi" w:hAnsiTheme="minorHAnsi"/>
          <w:i/>
          <w:color w:val="000000" w:themeColor="text1"/>
          <w:sz w:val="24"/>
          <w:szCs w:val="24"/>
        </w:rPr>
        <w:t>best</w:t>
      </w:r>
      <w:proofErr w:type="spellEnd"/>
      <w:r w:rsidR="00FC4FF1" w:rsidRPr="00F446F7">
        <w:rPr>
          <w:rFonts w:asciiTheme="minorHAnsi" w:hAnsiTheme="minorHAnsi"/>
          <w:color w:val="000000" w:themeColor="text1"/>
          <w:sz w:val="24"/>
          <w:szCs w:val="24"/>
        </w:rPr>
        <w:t xml:space="preserve"> prácticas, así como al </w:t>
      </w:r>
      <w:r w:rsidR="007B2FE7" w:rsidRPr="00F446F7">
        <w:rPr>
          <w:rFonts w:asciiTheme="minorHAnsi" w:hAnsiTheme="minorHAnsi"/>
          <w:color w:val="000000" w:themeColor="text1"/>
          <w:sz w:val="24"/>
          <w:szCs w:val="24"/>
        </w:rPr>
        <w:t xml:space="preserve">propio </w:t>
      </w:r>
      <w:r w:rsidR="00DB03D8" w:rsidRPr="00F446F7">
        <w:rPr>
          <w:rFonts w:asciiTheme="minorHAnsi" w:hAnsiTheme="minorHAnsi"/>
          <w:color w:val="000000" w:themeColor="text1"/>
          <w:sz w:val="24"/>
          <w:szCs w:val="24"/>
        </w:rPr>
        <w:t>sistema</w:t>
      </w:r>
      <w:r w:rsidR="00FC4FF1" w:rsidRPr="00F446F7">
        <w:rPr>
          <w:rFonts w:asciiTheme="minorHAnsi" w:hAnsiTheme="minorHAnsi"/>
          <w:color w:val="000000" w:themeColor="text1"/>
          <w:sz w:val="24"/>
          <w:szCs w:val="24"/>
        </w:rPr>
        <w:t xml:space="preserve"> de gobernanza institucional y gerencial</w:t>
      </w:r>
      <w:r w:rsidR="00CB3BB6" w:rsidRPr="00F446F7">
        <w:rPr>
          <w:rFonts w:asciiTheme="minorHAnsi" w:hAnsiTheme="minorHAnsi"/>
          <w:color w:val="000000" w:themeColor="text1"/>
          <w:sz w:val="24"/>
          <w:szCs w:val="24"/>
        </w:rPr>
        <w:t xml:space="preserve">, dada la responsabilidad </w:t>
      </w:r>
      <w:r w:rsidR="00B64CC7" w:rsidRPr="00F446F7">
        <w:rPr>
          <w:rFonts w:asciiTheme="minorHAnsi" w:hAnsiTheme="minorHAnsi"/>
          <w:color w:val="000000" w:themeColor="text1"/>
          <w:sz w:val="24"/>
          <w:szCs w:val="24"/>
        </w:rPr>
        <w:t xml:space="preserve"> adquirida por </w:t>
      </w:r>
      <w:r w:rsidR="00CB3BB6" w:rsidRPr="00F446F7">
        <w:rPr>
          <w:rFonts w:asciiTheme="minorHAnsi" w:hAnsiTheme="minorHAnsi"/>
          <w:color w:val="000000" w:themeColor="text1"/>
          <w:sz w:val="24"/>
          <w:szCs w:val="24"/>
        </w:rPr>
        <w:t xml:space="preserve">la </w:t>
      </w:r>
      <w:r w:rsidR="001C14CE" w:rsidRPr="00F446F7">
        <w:rPr>
          <w:rFonts w:asciiTheme="minorHAnsi" w:hAnsiTheme="minorHAnsi"/>
          <w:color w:val="000000" w:themeColor="text1"/>
          <w:sz w:val="24"/>
          <w:szCs w:val="24"/>
        </w:rPr>
        <w:t xml:space="preserve">empresa </w:t>
      </w:r>
      <w:r w:rsidR="00CB3BB6" w:rsidRPr="00F446F7">
        <w:rPr>
          <w:rFonts w:asciiTheme="minorHAnsi" w:hAnsiTheme="minorHAnsi"/>
          <w:color w:val="000000" w:themeColor="text1"/>
          <w:sz w:val="24"/>
          <w:szCs w:val="24"/>
        </w:rPr>
        <w:t>concesionaria en la cadena de soporte no sanitaria</w:t>
      </w:r>
      <w:r w:rsidR="00B64CC7" w:rsidRPr="00F446F7">
        <w:rPr>
          <w:rFonts w:asciiTheme="minorHAnsi" w:hAnsiTheme="minorHAnsi"/>
          <w:color w:val="000000" w:themeColor="text1"/>
          <w:sz w:val="24"/>
          <w:szCs w:val="24"/>
        </w:rPr>
        <w:t xml:space="preserve"> de la i</w:t>
      </w:r>
      <w:r w:rsidR="00DB03D8" w:rsidRPr="00F446F7">
        <w:rPr>
          <w:rFonts w:asciiTheme="minorHAnsi" w:hAnsiTheme="minorHAnsi"/>
          <w:color w:val="000000" w:themeColor="text1"/>
          <w:sz w:val="24"/>
          <w:szCs w:val="24"/>
        </w:rPr>
        <w:t>nstitución</w:t>
      </w:r>
      <w:r w:rsidR="00FC4FF1" w:rsidRPr="00F446F7">
        <w:rPr>
          <w:rFonts w:asciiTheme="minorHAnsi" w:hAnsiTheme="minorHAnsi"/>
          <w:color w:val="000000" w:themeColor="text1"/>
          <w:sz w:val="24"/>
          <w:szCs w:val="24"/>
        </w:rPr>
        <w:t>.</w:t>
      </w:r>
    </w:p>
    <w:p w:rsidR="009410CA" w:rsidRPr="00F446F7" w:rsidRDefault="005C08A4"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La desintermediación como cr</w:t>
      </w:r>
      <w:r w:rsidR="00973FC1" w:rsidRPr="00F446F7">
        <w:rPr>
          <w:rFonts w:asciiTheme="minorHAnsi" w:hAnsiTheme="minorHAnsi"/>
          <w:color w:val="000000" w:themeColor="text1"/>
          <w:sz w:val="24"/>
          <w:szCs w:val="24"/>
        </w:rPr>
        <w:t xml:space="preserve">iterio de </w:t>
      </w:r>
      <w:r w:rsidR="007C6F1A">
        <w:rPr>
          <w:rFonts w:asciiTheme="minorHAnsi" w:hAnsiTheme="minorHAnsi"/>
          <w:color w:val="000000" w:themeColor="text1"/>
          <w:sz w:val="24"/>
          <w:szCs w:val="24"/>
        </w:rPr>
        <w:t xml:space="preserve">eficiencia en el </w:t>
      </w:r>
      <w:proofErr w:type="spellStart"/>
      <w:r w:rsidR="00973FC1" w:rsidRPr="00F446F7">
        <w:rPr>
          <w:rFonts w:asciiTheme="minorHAnsi" w:hAnsiTheme="minorHAnsi"/>
          <w:i/>
          <w:color w:val="000000" w:themeColor="text1"/>
          <w:sz w:val="24"/>
          <w:szCs w:val="24"/>
        </w:rPr>
        <w:t>management</w:t>
      </w:r>
      <w:proofErr w:type="spellEnd"/>
      <w:r w:rsidR="00973FC1" w:rsidRPr="00F446F7">
        <w:rPr>
          <w:rFonts w:asciiTheme="minorHAnsi" w:hAnsiTheme="minorHAnsi"/>
          <w:i/>
          <w:color w:val="000000" w:themeColor="text1"/>
          <w:sz w:val="24"/>
          <w:szCs w:val="24"/>
        </w:rPr>
        <w:t xml:space="preserve"> </w:t>
      </w:r>
      <w:r w:rsidR="007C6F1A">
        <w:rPr>
          <w:rFonts w:asciiTheme="minorHAnsi" w:hAnsiTheme="minorHAnsi"/>
          <w:color w:val="000000" w:themeColor="text1"/>
          <w:sz w:val="24"/>
          <w:szCs w:val="24"/>
        </w:rPr>
        <w:t xml:space="preserve"> avanzado </w:t>
      </w:r>
      <w:r w:rsidR="00973FC1" w:rsidRPr="00F446F7">
        <w:rPr>
          <w:rFonts w:asciiTheme="minorHAnsi" w:hAnsiTheme="minorHAnsi"/>
          <w:color w:val="000000" w:themeColor="text1"/>
          <w:sz w:val="24"/>
          <w:szCs w:val="24"/>
        </w:rPr>
        <w:t xml:space="preserve">es </w:t>
      </w:r>
      <w:r w:rsidR="007C6F1A" w:rsidRPr="00F446F7">
        <w:rPr>
          <w:rFonts w:asciiTheme="minorHAnsi" w:hAnsiTheme="minorHAnsi"/>
          <w:color w:val="000000" w:themeColor="text1"/>
          <w:sz w:val="24"/>
          <w:szCs w:val="24"/>
        </w:rPr>
        <w:t>indiscutible</w:t>
      </w:r>
      <w:r w:rsidR="00973FC1" w:rsidRPr="00F446F7">
        <w:rPr>
          <w:rFonts w:asciiTheme="minorHAnsi" w:hAnsiTheme="minorHAnsi"/>
          <w:color w:val="000000" w:themeColor="text1"/>
          <w:sz w:val="24"/>
          <w:szCs w:val="24"/>
        </w:rPr>
        <w:t xml:space="preserve"> en </w:t>
      </w:r>
      <w:r w:rsidR="007C6F1A">
        <w:rPr>
          <w:rFonts w:asciiTheme="minorHAnsi" w:hAnsiTheme="minorHAnsi"/>
          <w:color w:val="000000" w:themeColor="text1"/>
          <w:sz w:val="24"/>
          <w:szCs w:val="24"/>
        </w:rPr>
        <w:t xml:space="preserve">los proyectos </w:t>
      </w:r>
      <w:r w:rsidR="00973FC1" w:rsidRPr="00F446F7">
        <w:rPr>
          <w:rFonts w:asciiTheme="minorHAnsi" w:hAnsiTheme="minorHAnsi"/>
          <w:color w:val="000000" w:themeColor="text1"/>
          <w:sz w:val="24"/>
          <w:szCs w:val="24"/>
        </w:rPr>
        <w:t xml:space="preserve">de inversión </w:t>
      </w:r>
      <w:r w:rsidR="007C6F1A">
        <w:rPr>
          <w:rFonts w:asciiTheme="minorHAnsi" w:hAnsiTheme="minorHAnsi"/>
          <w:color w:val="000000" w:themeColor="text1"/>
          <w:sz w:val="24"/>
          <w:szCs w:val="24"/>
        </w:rPr>
        <w:t>en</w:t>
      </w:r>
      <w:r w:rsidR="00973FC1" w:rsidRPr="00F446F7">
        <w:rPr>
          <w:rFonts w:asciiTheme="minorHAnsi" w:hAnsiTheme="minorHAnsi"/>
          <w:color w:val="000000" w:themeColor="text1"/>
          <w:sz w:val="24"/>
          <w:szCs w:val="24"/>
        </w:rPr>
        <w:t xml:space="preserve"> infraestructuras públicas, si bien no exonera de responsabilidad a </w:t>
      </w:r>
      <w:r w:rsidRPr="00F446F7">
        <w:rPr>
          <w:rFonts w:asciiTheme="minorHAnsi" w:hAnsiTheme="minorHAnsi"/>
          <w:color w:val="000000" w:themeColor="text1"/>
          <w:sz w:val="24"/>
          <w:szCs w:val="24"/>
        </w:rPr>
        <w:t xml:space="preserve">quienes </w:t>
      </w:r>
      <w:r w:rsidR="007C6F1A">
        <w:rPr>
          <w:rFonts w:asciiTheme="minorHAnsi" w:hAnsiTheme="minorHAnsi"/>
          <w:color w:val="000000" w:themeColor="text1"/>
          <w:sz w:val="24"/>
          <w:szCs w:val="24"/>
        </w:rPr>
        <w:t>d</w:t>
      </w:r>
      <w:r w:rsidR="00D15AC3" w:rsidRPr="00F446F7">
        <w:rPr>
          <w:rFonts w:asciiTheme="minorHAnsi" w:hAnsiTheme="minorHAnsi"/>
          <w:color w:val="000000" w:themeColor="text1"/>
          <w:sz w:val="24"/>
          <w:szCs w:val="24"/>
        </w:rPr>
        <w:t xml:space="preserve">esde diferentes ámbitos políticos, institucionales y sociales </w:t>
      </w:r>
      <w:r w:rsidR="00973FC1" w:rsidRPr="00F446F7">
        <w:rPr>
          <w:rFonts w:asciiTheme="minorHAnsi" w:hAnsiTheme="minorHAnsi"/>
          <w:color w:val="000000" w:themeColor="text1"/>
          <w:sz w:val="24"/>
          <w:szCs w:val="24"/>
        </w:rPr>
        <w:t>renuncia</w:t>
      </w:r>
      <w:r w:rsidRPr="00F446F7">
        <w:rPr>
          <w:rFonts w:asciiTheme="minorHAnsi" w:hAnsiTheme="minorHAnsi"/>
          <w:color w:val="000000" w:themeColor="text1"/>
          <w:sz w:val="24"/>
          <w:szCs w:val="24"/>
        </w:rPr>
        <w:t>n</w:t>
      </w:r>
      <w:r w:rsidR="00973FC1" w:rsidRPr="00F446F7">
        <w:rPr>
          <w:rFonts w:asciiTheme="minorHAnsi" w:hAnsiTheme="minorHAnsi"/>
          <w:color w:val="000000" w:themeColor="text1"/>
          <w:sz w:val="24"/>
          <w:szCs w:val="24"/>
        </w:rPr>
        <w:t xml:space="preserve"> a reforma</w:t>
      </w:r>
      <w:r w:rsidRPr="00F446F7">
        <w:rPr>
          <w:rFonts w:asciiTheme="minorHAnsi" w:hAnsiTheme="minorHAnsi"/>
          <w:color w:val="000000" w:themeColor="text1"/>
          <w:sz w:val="24"/>
          <w:szCs w:val="24"/>
        </w:rPr>
        <w:t>s</w:t>
      </w:r>
      <w:r w:rsidR="00973FC1" w:rsidRPr="00F446F7">
        <w:rPr>
          <w:rFonts w:asciiTheme="minorHAnsi" w:hAnsiTheme="minorHAnsi"/>
          <w:color w:val="000000" w:themeColor="text1"/>
          <w:sz w:val="24"/>
          <w:szCs w:val="24"/>
        </w:rPr>
        <w:t xml:space="preserve"> en profundidad del </w:t>
      </w:r>
      <w:r w:rsidRPr="00F446F7">
        <w:rPr>
          <w:rFonts w:asciiTheme="minorHAnsi" w:hAnsiTheme="minorHAnsi"/>
          <w:color w:val="000000" w:themeColor="text1"/>
          <w:sz w:val="24"/>
          <w:szCs w:val="24"/>
        </w:rPr>
        <w:t xml:space="preserve">hierático modelo </w:t>
      </w:r>
      <w:r w:rsidR="00973FC1" w:rsidRPr="00F446F7">
        <w:rPr>
          <w:rFonts w:asciiTheme="minorHAnsi" w:hAnsiTheme="minorHAnsi"/>
          <w:color w:val="000000" w:themeColor="text1"/>
          <w:sz w:val="24"/>
          <w:szCs w:val="24"/>
        </w:rPr>
        <w:t>burocrático</w:t>
      </w:r>
      <w:r w:rsidRPr="00F446F7">
        <w:rPr>
          <w:rFonts w:asciiTheme="minorHAnsi" w:hAnsiTheme="minorHAnsi"/>
          <w:color w:val="000000" w:themeColor="text1"/>
          <w:sz w:val="24"/>
          <w:szCs w:val="24"/>
        </w:rPr>
        <w:t xml:space="preserve">, tan </w:t>
      </w:r>
      <w:r w:rsidR="00973FC1" w:rsidRPr="00F446F7">
        <w:rPr>
          <w:rFonts w:asciiTheme="minorHAnsi" w:hAnsiTheme="minorHAnsi"/>
          <w:color w:val="000000" w:themeColor="text1"/>
          <w:sz w:val="24"/>
          <w:szCs w:val="24"/>
        </w:rPr>
        <w:t xml:space="preserve">ineficaz </w:t>
      </w:r>
      <w:r w:rsidRPr="00F446F7">
        <w:rPr>
          <w:rFonts w:asciiTheme="minorHAnsi" w:hAnsiTheme="minorHAnsi"/>
          <w:color w:val="000000" w:themeColor="text1"/>
          <w:sz w:val="24"/>
          <w:szCs w:val="24"/>
        </w:rPr>
        <w:t xml:space="preserve">como </w:t>
      </w:r>
      <w:r w:rsidR="00973FC1" w:rsidRPr="00F446F7">
        <w:rPr>
          <w:rFonts w:asciiTheme="minorHAnsi" w:hAnsiTheme="minorHAnsi"/>
          <w:color w:val="000000" w:themeColor="text1"/>
          <w:sz w:val="24"/>
          <w:szCs w:val="24"/>
        </w:rPr>
        <w:t xml:space="preserve">incompatible </w:t>
      </w:r>
      <w:r w:rsidRPr="00F446F7">
        <w:rPr>
          <w:rFonts w:asciiTheme="minorHAnsi" w:hAnsiTheme="minorHAnsi"/>
          <w:color w:val="000000" w:themeColor="text1"/>
          <w:sz w:val="24"/>
          <w:szCs w:val="24"/>
        </w:rPr>
        <w:t>con una</w:t>
      </w:r>
      <w:r w:rsidR="00973FC1" w:rsidRPr="00F446F7">
        <w:rPr>
          <w:rFonts w:asciiTheme="minorHAnsi" w:hAnsiTheme="minorHAnsi"/>
          <w:color w:val="000000" w:themeColor="text1"/>
          <w:sz w:val="24"/>
          <w:szCs w:val="24"/>
        </w:rPr>
        <w:t xml:space="preserve"> pr</w:t>
      </w:r>
      <w:r w:rsidRPr="00F446F7">
        <w:rPr>
          <w:rFonts w:asciiTheme="minorHAnsi" w:hAnsiTheme="minorHAnsi"/>
          <w:color w:val="000000" w:themeColor="text1"/>
          <w:sz w:val="24"/>
          <w:szCs w:val="24"/>
        </w:rPr>
        <w:t>á</w:t>
      </w:r>
      <w:r w:rsidR="00973FC1" w:rsidRPr="00F446F7">
        <w:rPr>
          <w:rFonts w:asciiTheme="minorHAnsi" w:hAnsiTheme="minorHAnsi"/>
          <w:color w:val="000000" w:themeColor="text1"/>
          <w:sz w:val="24"/>
          <w:szCs w:val="24"/>
        </w:rPr>
        <w:t>ctica ge</w:t>
      </w:r>
      <w:r w:rsidRPr="00F446F7">
        <w:rPr>
          <w:rFonts w:asciiTheme="minorHAnsi" w:hAnsiTheme="minorHAnsi"/>
          <w:color w:val="000000" w:themeColor="text1"/>
          <w:sz w:val="24"/>
          <w:szCs w:val="24"/>
        </w:rPr>
        <w:t>rencial</w:t>
      </w:r>
      <w:r w:rsidR="00973FC1" w:rsidRPr="00F446F7">
        <w:rPr>
          <w:rFonts w:asciiTheme="minorHAnsi" w:hAnsiTheme="minorHAnsi"/>
          <w:color w:val="000000" w:themeColor="text1"/>
          <w:sz w:val="24"/>
          <w:szCs w:val="24"/>
        </w:rPr>
        <w:t xml:space="preserve"> moderna</w:t>
      </w:r>
      <w:r w:rsidRPr="00F446F7">
        <w:rPr>
          <w:rFonts w:asciiTheme="minorHAnsi" w:hAnsiTheme="minorHAnsi"/>
          <w:color w:val="000000" w:themeColor="text1"/>
          <w:sz w:val="24"/>
          <w:szCs w:val="24"/>
        </w:rPr>
        <w:t>.</w:t>
      </w:r>
      <w:r w:rsidR="00D15AC3" w:rsidRPr="00F446F7">
        <w:rPr>
          <w:rFonts w:asciiTheme="minorHAnsi" w:hAnsiTheme="minorHAnsi"/>
          <w:color w:val="000000" w:themeColor="text1"/>
          <w:sz w:val="24"/>
          <w:szCs w:val="24"/>
        </w:rPr>
        <w:t xml:space="preserve"> </w:t>
      </w:r>
      <w:r w:rsidRPr="00F446F7">
        <w:rPr>
          <w:rFonts w:asciiTheme="minorHAnsi" w:hAnsiTheme="minorHAnsi"/>
          <w:color w:val="000000" w:themeColor="text1"/>
          <w:sz w:val="24"/>
          <w:szCs w:val="24"/>
        </w:rPr>
        <w:t>Un</w:t>
      </w:r>
      <w:r w:rsidR="00973FC1" w:rsidRPr="00F446F7">
        <w:rPr>
          <w:rFonts w:asciiTheme="minorHAnsi" w:hAnsiTheme="minorHAnsi"/>
          <w:color w:val="000000" w:themeColor="text1"/>
          <w:sz w:val="24"/>
          <w:szCs w:val="24"/>
        </w:rPr>
        <w:t xml:space="preserve">a nueva gestión </w:t>
      </w:r>
      <w:r w:rsidR="001E3F6A" w:rsidRPr="00F446F7">
        <w:rPr>
          <w:rFonts w:asciiTheme="minorHAnsi" w:hAnsiTheme="minorHAnsi"/>
          <w:color w:val="000000" w:themeColor="text1"/>
          <w:sz w:val="24"/>
          <w:szCs w:val="24"/>
        </w:rPr>
        <w:t xml:space="preserve"> </w:t>
      </w:r>
      <w:r w:rsidRPr="00F446F7">
        <w:rPr>
          <w:rFonts w:asciiTheme="minorHAnsi" w:hAnsiTheme="minorHAnsi"/>
          <w:color w:val="000000" w:themeColor="text1"/>
          <w:sz w:val="24"/>
          <w:szCs w:val="24"/>
        </w:rPr>
        <w:t>pública viene llamando a la puerta</w:t>
      </w:r>
      <w:r w:rsidR="001E3F6A" w:rsidRPr="00F446F7">
        <w:rPr>
          <w:rFonts w:asciiTheme="minorHAnsi" w:hAnsiTheme="minorHAnsi"/>
          <w:color w:val="000000" w:themeColor="text1"/>
          <w:sz w:val="24"/>
          <w:szCs w:val="24"/>
        </w:rPr>
        <w:t xml:space="preserve"> de la modernización del S</w:t>
      </w:r>
      <w:r w:rsidRPr="00F446F7">
        <w:rPr>
          <w:rFonts w:asciiTheme="minorHAnsi" w:hAnsiTheme="minorHAnsi"/>
          <w:color w:val="000000" w:themeColor="text1"/>
          <w:sz w:val="24"/>
          <w:szCs w:val="24"/>
        </w:rPr>
        <w:t>istema Nacional de Salud</w:t>
      </w:r>
      <w:r w:rsidR="001E3F6A" w:rsidRPr="00F446F7">
        <w:rPr>
          <w:rFonts w:asciiTheme="minorHAnsi" w:hAnsiTheme="minorHAnsi"/>
          <w:color w:val="000000" w:themeColor="text1"/>
          <w:sz w:val="24"/>
          <w:szCs w:val="24"/>
        </w:rPr>
        <w:t xml:space="preserve">. </w:t>
      </w:r>
    </w:p>
    <w:p w:rsidR="003C0B89" w:rsidRPr="00F446F7" w:rsidRDefault="009410CA" w:rsidP="00F446F7">
      <w:pPr>
        <w:pStyle w:val="Textoindependiente3"/>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lastRenderedPageBreak/>
        <w:t xml:space="preserve">En síntesis </w:t>
      </w:r>
      <w:r w:rsidR="007C6F1A">
        <w:rPr>
          <w:rFonts w:asciiTheme="minorHAnsi" w:hAnsiTheme="minorHAnsi"/>
          <w:color w:val="000000" w:themeColor="text1"/>
          <w:sz w:val="24"/>
          <w:szCs w:val="24"/>
        </w:rPr>
        <w:t>l</w:t>
      </w:r>
      <w:r w:rsidR="007C6F1A" w:rsidRPr="00F446F7">
        <w:rPr>
          <w:rFonts w:asciiTheme="minorHAnsi" w:hAnsiTheme="minorHAnsi"/>
          <w:color w:val="000000" w:themeColor="text1"/>
          <w:sz w:val="24"/>
          <w:szCs w:val="24"/>
        </w:rPr>
        <w:t>a literatura más contrastada  sobre colaboración PFI,  en términos de eficiencia económica y social, es clara a favor de la inversión pública directa, al entender que el sobrecoste que supone el modelo concesional para el sector público es razonablemente  inapropiado, máxime en ciclos económicos de contracción presupuestaria.</w:t>
      </w:r>
      <w:r w:rsidR="007C6F1A">
        <w:rPr>
          <w:rFonts w:asciiTheme="minorHAnsi" w:hAnsiTheme="minorHAnsi"/>
          <w:color w:val="000000" w:themeColor="text1"/>
          <w:sz w:val="24"/>
          <w:szCs w:val="24"/>
        </w:rPr>
        <w:t xml:space="preserve"> Por ello, y en base a </w:t>
      </w:r>
      <w:r w:rsidR="005C08A4" w:rsidRPr="00F446F7">
        <w:rPr>
          <w:rFonts w:asciiTheme="minorHAnsi" w:hAnsiTheme="minorHAnsi"/>
          <w:color w:val="000000" w:themeColor="text1"/>
          <w:sz w:val="24"/>
          <w:szCs w:val="24"/>
        </w:rPr>
        <w:t xml:space="preserve"> criterios de eficiencia </w:t>
      </w:r>
      <w:r w:rsidR="007C6F1A">
        <w:rPr>
          <w:rFonts w:asciiTheme="minorHAnsi" w:hAnsiTheme="minorHAnsi"/>
          <w:color w:val="000000" w:themeColor="text1"/>
          <w:sz w:val="24"/>
          <w:szCs w:val="24"/>
        </w:rPr>
        <w:t>pública</w:t>
      </w:r>
      <w:r w:rsidR="005C08A4" w:rsidRPr="00F446F7">
        <w:rPr>
          <w:rFonts w:asciiTheme="minorHAnsi" w:hAnsiTheme="minorHAnsi"/>
          <w:color w:val="000000" w:themeColor="text1"/>
          <w:sz w:val="24"/>
          <w:szCs w:val="24"/>
        </w:rPr>
        <w:t xml:space="preserve">, </w:t>
      </w:r>
      <w:r w:rsidRPr="00F446F7">
        <w:rPr>
          <w:rFonts w:asciiTheme="minorHAnsi" w:hAnsiTheme="minorHAnsi"/>
          <w:color w:val="000000" w:themeColor="text1"/>
          <w:sz w:val="24"/>
          <w:szCs w:val="24"/>
        </w:rPr>
        <w:t xml:space="preserve"> se aportan las siguientes conclusiones: </w:t>
      </w:r>
    </w:p>
    <w:p w:rsidR="00E5228C" w:rsidRPr="00F446F7" w:rsidRDefault="00206807"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bCs/>
          <w:color w:val="000000" w:themeColor="text1"/>
          <w:sz w:val="24"/>
          <w:szCs w:val="24"/>
        </w:rPr>
        <w:t xml:space="preserve">El sobrecoste generado por el modelo PFI crea </w:t>
      </w:r>
      <w:r w:rsidR="009410CA" w:rsidRPr="00F446F7">
        <w:rPr>
          <w:rFonts w:asciiTheme="minorHAnsi" w:hAnsiTheme="minorHAnsi"/>
          <w:bCs/>
          <w:color w:val="000000" w:themeColor="text1"/>
          <w:sz w:val="24"/>
          <w:szCs w:val="24"/>
        </w:rPr>
        <w:t xml:space="preserve">déficit </w:t>
      </w:r>
      <w:r w:rsidRPr="00F446F7">
        <w:rPr>
          <w:rFonts w:asciiTheme="minorHAnsi" w:hAnsiTheme="minorHAnsi"/>
          <w:bCs/>
          <w:color w:val="000000" w:themeColor="text1"/>
          <w:sz w:val="24"/>
          <w:szCs w:val="24"/>
        </w:rPr>
        <w:t>presupuestari</w:t>
      </w:r>
      <w:r w:rsidR="00F446F7" w:rsidRPr="00F446F7">
        <w:rPr>
          <w:rFonts w:asciiTheme="minorHAnsi" w:hAnsiTheme="minorHAnsi"/>
          <w:bCs/>
          <w:color w:val="000000" w:themeColor="text1"/>
          <w:sz w:val="24"/>
          <w:szCs w:val="24"/>
        </w:rPr>
        <w:t>o</w:t>
      </w:r>
      <w:r w:rsidRPr="00F446F7">
        <w:rPr>
          <w:rFonts w:asciiTheme="minorHAnsi" w:hAnsiTheme="minorHAnsi"/>
          <w:bCs/>
          <w:color w:val="000000" w:themeColor="text1"/>
          <w:sz w:val="24"/>
          <w:szCs w:val="24"/>
        </w:rPr>
        <w:t xml:space="preserve">, </w:t>
      </w:r>
      <w:r w:rsidR="007C6F1A">
        <w:rPr>
          <w:rFonts w:asciiTheme="minorHAnsi" w:hAnsiTheme="minorHAnsi"/>
          <w:bCs/>
          <w:color w:val="000000" w:themeColor="text1"/>
          <w:sz w:val="24"/>
          <w:szCs w:val="24"/>
        </w:rPr>
        <w:t>que</w:t>
      </w:r>
      <w:r w:rsidR="00F446F7" w:rsidRPr="00F446F7">
        <w:rPr>
          <w:rFonts w:asciiTheme="minorHAnsi" w:hAnsiTheme="minorHAnsi"/>
          <w:bCs/>
          <w:color w:val="000000" w:themeColor="text1"/>
          <w:sz w:val="24"/>
          <w:szCs w:val="24"/>
        </w:rPr>
        <w:t xml:space="preserve"> </w:t>
      </w:r>
      <w:r w:rsidRPr="00F446F7">
        <w:rPr>
          <w:rFonts w:asciiTheme="minorHAnsi" w:hAnsiTheme="minorHAnsi"/>
          <w:bCs/>
          <w:color w:val="000000" w:themeColor="text1"/>
          <w:sz w:val="24"/>
          <w:szCs w:val="24"/>
        </w:rPr>
        <w:t>s</w:t>
      </w:r>
      <w:r w:rsidR="009410CA" w:rsidRPr="00F446F7">
        <w:rPr>
          <w:rFonts w:asciiTheme="minorHAnsi" w:hAnsiTheme="minorHAnsi"/>
          <w:bCs/>
          <w:color w:val="000000" w:themeColor="text1"/>
          <w:sz w:val="24"/>
          <w:szCs w:val="24"/>
        </w:rPr>
        <w:t>ó</w:t>
      </w:r>
      <w:r w:rsidRPr="00F446F7">
        <w:rPr>
          <w:rFonts w:asciiTheme="minorHAnsi" w:hAnsiTheme="minorHAnsi"/>
          <w:bCs/>
          <w:color w:val="000000" w:themeColor="text1"/>
          <w:sz w:val="24"/>
          <w:szCs w:val="24"/>
        </w:rPr>
        <w:t xml:space="preserve">lo puede ser </w:t>
      </w:r>
      <w:r w:rsidR="001E3F6A" w:rsidRPr="00F446F7">
        <w:rPr>
          <w:rFonts w:asciiTheme="minorHAnsi" w:hAnsiTheme="minorHAnsi"/>
          <w:bCs/>
          <w:color w:val="000000" w:themeColor="text1"/>
          <w:sz w:val="24"/>
          <w:szCs w:val="24"/>
        </w:rPr>
        <w:t>equilibrado</w:t>
      </w:r>
      <w:r w:rsidR="009410CA" w:rsidRPr="00F446F7">
        <w:rPr>
          <w:rFonts w:asciiTheme="minorHAnsi" w:hAnsiTheme="minorHAnsi"/>
          <w:bCs/>
          <w:color w:val="000000" w:themeColor="text1"/>
          <w:sz w:val="24"/>
          <w:szCs w:val="24"/>
        </w:rPr>
        <w:t xml:space="preserve"> </w:t>
      </w:r>
      <w:r w:rsidRPr="00F446F7">
        <w:rPr>
          <w:rFonts w:asciiTheme="minorHAnsi" w:hAnsiTheme="minorHAnsi"/>
          <w:bCs/>
          <w:color w:val="000000" w:themeColor="text1"/>
          <w:sz w:val="24"/>
          <w:szCs w:val="24"/>
        </w:rPr>
        <w:t xml:space="preserve">reasignando los gastos corrientes </w:t>
      </w:r>
      <w:r w:rsidR="009410CA" w:rsidRPr="00F446F7">
        <w:rPr>
          <w:rFonts w:asciiTheme="minorHAnsi" w:hAnsiTheme="minorHAnsi"/>
          <w:bCs/>
          <w:color w:val="000000" w:themeColor="text1"/>
          <w:sz w:val="24"/>
          <w:szCs w:val="24"/>
        </w:rPr>
        <w:t>por medio de devaluaciones internas</w:t>
      </w:r>
      <w:r w:rsidR="00217378" w:rsidRPr="00F446F7">
        <w:rPr>
          <w:rFonts w:asciiTheme="minorHAnsi" w:hAnsiTheme="minorHAnsi"/>
          <w:bCs/>
          <w:color w:val="000000" w:themeColor="text1"/>
          <w:sz w:val="24"/>
          <w:szCs w:val="24"/>
        </w:rPr>
        <w:t xml:space="preserve">  en </w:t>
      </w:r>
      <w:r w:rsidR="00F446F7" w:rsidRPr="00F446F7">
        <w:rPr>
          <w:rFonts w:asciiTheme="minorHAnsi" w:hAnsiTheme="minorHAnsi"/>
          <w:bCs/>
          <w:color w:val="000000" w:themeColor="text1"/>
          <w:sz w:val="24"/>
          <w:szCs w:val="24"/>
        </w:rPr>
        <w:t xml:space="preserve">el coste de </w:t>
      </w:r>
      <w:r w:rsidR="00217378" w:rsidRPr="00F446F7">
        <w:rPr>
          <w:rFonts w:asciiTheme="minorHAnsi" w:hAnsiTheme="minorHAnsi"/>
          <w:bCs/>
          <w:color w:val="000000" w:themeColor="text1"/>
          <w:sz w:val="24"/>
          <w:szCs w:val="24"/>
        </w:rPr>
        <w:t>los factores de producción</w:t>
      </w:r>
      <w:r w:rsidR="009410CA" w:rsidRPr="00F446F7">
        <w:rPr>
          <w:rFonts w:asciiTheme="minorHAnsi" w:hAnsiTheme="minorHAnsi"/>
          <w:bCs/>
          <w:color w:val="000000" w:themeColor="text1"/>
          <w:sz w:val="24"/>
          <w:szCs w:val="24"/>
        </w:rPr>
        <w:t>.</w:t>
      </w:r>
    </w:p>
    <w:p w:rsidR="009632C4" w:rsidRPr="00F446F7" w:rsidRDefault="001E3F6A"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bCs/>
          <w:color w:val="000000" w:themeColor="text1"/>
          <w:sz w:val="24"/>
          <w:szCs w:val="24"/>
        </w:rPr>
        <w:t>E</w:t>
      </w:r>
      <w:r w:rsidR="009632C4" w:rsidRPr="00F446F7">
        <w:rPr>
          <w:rFonts w:asciiTheme="minorHAnsi" w:hAnsiTheme="minorHAnsi"/>
          <w:bCs/>
          <w:color w:val="000000" w:themeColor="text1"/>
          <w:sz w:val="24"/>
          <w:szCs w:val="24"/>
        </w:rPr>
        <w:t>l endeudamiento público para proyectos de inversión socialmente productiva es inequívocamente más ef</w:t>
      </w:r>
      <w:r w:rsidR="007C6F1A">
        <w:rPr>
          <w:rFonts w:asciiTheme="minorHAnsi" w:hAnsiTheme="minorHAnsi"/>
          <w:bCs/>
          <w:color w:val="000000" w:themeColor="text1"/>
          <w:sz w:val="24"/>
          <w:szCs w:val="24"/>
        </w:rPr>
        <w:t>iciente para la Administración</w:t>
      </w:r>
      <w:r w:rsidR="009632C4" w:rsidRPr="00F446F7">
        <w:rPr>
          <w:rFonts w:asciiTheme="minorHAnsi" w:hAnsiTheme="minorHAnsi"/>
          <w:bCs/>
          <w:color w:val="000000" w:themeColor="text1"/>
          <w:sz w:val="24"/>
          <w:szCs w:val="24"/>
        </w:rPr>
        <w:t xml:space="preserve">, que cualquier otra alternativa de financiación privada. </w:t>
      </w:r>
    </w:p>
    <w:p w:rsidR="009632C4" w:rsidRPr="00F446F7" w:rsidRDefault="009632C4"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bCs/>
          <w:color w:val="000000" w:themeColor="text1"/>
          <w:sz w:val="24"/>
          <w:szCs w:val="24"/>
        </w:rPr>
        <w:t xml:space="preserve">La deuda agregada oculta  generada con modelos </w:t>
      </w:r>
      <w:r w:rsidR="007C6F1A">
        <w:rPr>
          <w:rFonts w:asciiTheme="minorHAnsi" w:hAnsiTheme="minorHAnsi"/>
          <w:bCs/>
          <w:color w:val="000000" w:themeColor="text1"/>
          <w:sz w:val="24"/>
          <w:szCs w:val="24"/>
        </w:rPr>
        <w:t>concesionales-</w:t>
      </w:r>
      <w:r w:rsidRPr="00F446F7">
        <w:rPr>
          <w:rFonts w:asciiTheme="minorHAnsi" w:hAnsiTheme="minorHAnsi"/>
          <w:bCs/>
          <w:color w:val="000000" w:themeColor="text1"/>
          <w:sz w:val="24"/>
          <w:szCs w:val="24"/>
        </w:rPr>
        <w:t xml:space="preserve">PFI, ha </w:t>
      </w:r>
      <w:r w:rsidR="00075F34" w:rsidRPr="00F446F7">
        <w:rPr>
          <w:rFonts w:asciiTheme="minorHAnsi" w:hAnsiTheme="minorHAnsi"/>
          <w:bCs/>
          <w:color w:val="000000" w:themeColor="text1"/>
          <w:sz w:val="24"/>
          <w:szCs w:val="24"/>
        </w:rPr>
        <w:t>precisado</w:t>
      </w:r>
      <w:r w:rsidRPr="00F446F7">
        <w:rPr>
          <w:rFonts w:asciiTheme="minorHAnsi" w:hAnsiTheme="minorHAnsi"/>
          <w:bCs/>
          <w:color w:val="000000" w:themeColor="text1"/>
          <w:sz w:val="24"/>
          <w:szCs w:val="24"/>
        </w:rPr>
        <w:t xml:space="preserve"> ser aflorada  por exigen</w:t>
      </w:r>
      <w:r w:rsidR="007C6F1A">
        <w:rPr>
          <w:rFonts w:asciiTheme="minorHAnsi" w:hAnsiTheme="minorHAnsi"/>
          <w:bCs/>
          <w:color w:val="000000" w:themeColor="text1"/>
          <w:sz w:val="24"/>
          <w:szCs w:val="24"/>
        </w:rPr>
        <w:t xml:space="preserve">cia de la troika </w:t>
      </w:r>
      <w:r w:rsidRPr="00F446F7">
        <w:rPr>
          <w:rFonts w:asciiTheme="minorHAnsi" w:hAnsiTheme="minorHAnsi"/>
          <w:bCs/>
          <w:color w:val="000000" w:themeColor="text1"/>
          <w:sz w:val="24"/>
          <w:szCs w:val="24"/>
        </w:rPr>
        <w:t xml:space="preserve">cuando los países de la Eurozona han </w:t>
      </w:r>
      <w:r w:rsidR="00217378" w:rsidRPr="00F446F7">
        <w:rPr>
          <w:rFonts w:asciiTheme="minorHAnsi" w:hAnsiTheme="minorHAnsi"/>
          <w:bCs/>
          <w:color w:val="000000" w:themeColor="text1"/>
          <w:sz w:val="24"/>
          <w:szCs w:val="24"/>
        </w:rPr>
        <w:t>requerido</w:t>
      </w:r>
      <w:r w:rsidRPr="00F446F7">
        <w:rPr>
          <w:rFonts w:asciiTheme="minorHAnsi" w:hAnsiTheme="minorHAnsi"/>
          <w:bCs/>
          <w:color w:val="000000" w:themeColor="text1"/>
          <w:sz w:val="24"/>
          <w:szCs w:val="24"/>
        </w:rPr>
        <w:t xml:space="preserve"> “rescates”</w:t>
      </w:r>
      <w:r w:rsidR="00AE14F3" w:rsidRPr="00F446F7">
        <w:rPr>
          <w:rFonts w:asciiTheme="minorHAnsi" w:hAnsiTheme="minorHAnsi"/>
          <w:bCs/>
          <w:color w:val="000000" w:themeColor="text1"/>
          <w:sz w:val="24"/>
          <w:szCs w:val="24"/>
        </w:rPr>
        <w:t>.</w:t>
      </w:r>
    </w:p>
    <w:p w:rsidR="00970AC0" w:rsidRPr="00F446F7" w:rsidRDefault="00AE14F3"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 </w:t>
      </w:r>
      <w:r w:rsidR="00206807" w:rsidRPr="00F446F7">
        <w:rPr>
          <w:rFonts w:asciiTheme="minorHAnsi" w:hAnsiTheme="minorHAnsi"/>
          <w:bCs/>
          <w:color w:val="000000" w:themeColor="text1"/>
          <w:sz w:val="24"/>
          <w:szCs w:val="24"/>
        </w:rPr>
        <w:t xml:space="preserve">Los bonos emitidos por las empresas constructoras para financiar los proyectos –PFI en mercados financieros están tipificados  con una rentabilidad y volatilidad </w:t>
      </w:r>
      <w:r w:rsidRPr="00F446F7">
        <w:rPr>
          <w:rFonts w:asciiTheme="minorHAnsi" w:hAnsiTheme="minorHAnsi"/>
          <w:bCs/>
          <w:color w:val="000000" w:themeColor="text1"/>
          <w:sz w:val="24"/>
          <w:szCs w:val="24"/>
        </w:rPr>
        <w:t>de baja  estabilidad</w:t>
      </w:r>
      <w:r w:rsidR="00206807" w:rsidRPr="00F446F7">
        <w:rPr>
          <w:rFonts w:asciiTheme="minorHAnsi" w:hAnsiTheme="minorHAnsi"/>
          <w:bCs/>
          <w:color w:val="000000" w:themeColor="text1"/>
          <w:sz w:val="24"/>
          <w:szCs w:val="24"/>
        </w:rPr>
        <w:t xml:space="preserve">  (calificación bursátil BBB).</w:t>
      </w:r>
      <w:r w:rsidRPr="00F446F7">
        <w:rPr>
          <w:rFonts w:asciiTheme="minorHAnsi" w:hAnsiTheme="minorHAnsi"/>
          <w:bCs/>
          <w:color w:val="000000" w:themeColor="text1"/>
          <w:sz w:val="24"/>
          <w:szCs w:val="24"/>
        </w:rPr>
        <w:t xml:space="preserve"> Mientras l</w:t>
      </w:r>
      <w:r w:rsidR="00206807" w:rsidRPr="00F446F7">
        <w:rPr>
          <w:rFonts w:asciiTheme="minorHAnsi" w:hAnsiTheme="minorHAnsi"/>
          <w:bCs/>
          <w:color w:val="000000" w:themeColor="text1"/>
          <w:sz w:val="24"/>
          <w:szCs w:val="24"/>
        </w:rPr>
        <w:t xml:space="preserve">os bonos emitidos por el Estado para invertir en construcción de hospitales (deuda pública) se consideran de </w:t>
      </w:r>
      <w:r w:rsidRPr="00F446F7">
        <w:rPr>
          <w:rFonts w:asciiTheme="minorHAnsi" w:hAnsiTheme="minorHAnsi"/>
          <w:color w:val="000000" w:themeColor="text1"/>
          <w:sz w:val="24"/>
          <w:szCs w:val="24"/>
        </w:rPr>
        <w:t>alta</w:t>
      </w:r>
      <w:r w:rsidR="00206807" w:rsidRPr="00F446F7">
        <w:rPr>
          <w:rFonts w:asciiTheme="minorHAnsi" w:hAnsiTheme="minorHAnsi"/>
          <w:bCs/>
          <w:color w:val="000000" w:themeColor="text1"/>
          <w:sz w:val="24"/>
          <w:szCs w:val="24"/>
        </w:rPr>
        <w:t xml:space="preserve"> estabilidad y seguridad. </w:t>
      </w:r>
    </w:p>
    <w:p w:rsidR="00970AC0" w:rsidRPr="00F446F7" w:rsidRDefault="00D7399F"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Los pagos anuales unitarios  (canon</w:t>
      </w:r>
      <w:r w:rsidR="00970AC0" w:rsidRPr="00F446F7">
        <w:rPr>
          <w:rFonts w:asciiTheme="minorHAnsi" w:hAnsiTheme="minorHAnsi"/>
          <w:color w:val="000000" w:themeColor="text1"/>
          <w:sz w:val="24"/>
          <w:szCs w:val="24"/>
        </w:rPr>
        <w:t>)</w:t>
      </w:r>
      <w:r w:rsidRPr="00F446F7">
        <w:rPr>
          <w:rFonts w:asciiTheme="minorHAnsi" w:hAnsiTheme="minorHAnsi"/>
          <w:color w:val="000000" w:themeColor="text1"/>
          <w:sz w:val="24"/>
          <w:szCs w:val="24"/>
        </w:rPr>
        <w:t xml:space="preserve">  por proyectos de hospital tipo PFI </w:t>
      </w:r>
      <w:r w:rsidR="00F446F7" w:rsidRPr="00F446F7">
        <w:rPr>
          <w:rFonts w:asciiTheme="minorHAnsi" w:hAnsiTheme="minorHAnsi"/>
          <w:color w:val="000000" w:themeColor="text1"/>
          <w:sz w:val="24"/>
          <w:szCs w:val="24"/>
        </w:rPr>
        <w:t xml:space="preserve">que contempla la sociedad concesionaria son alcistas, en razón al valor esperado de </w:t>
      </w:r>
      <w:r w:rsidRPr="00F446F7">
        <w:rPr>
          <w:rFonts w:asciiTheme="minorHAnsi" w:hAnsiTheme="minorHAnsi"/>
          <w:color w:val="000000" w:themeColor="text1"/>
          <w:sz w:val="24"/>
          <w:szCs w:val="24"/>
        </w:rPr>
        <w:t>la TI</w:t>
      </w:r>
      <w:r w:rsidR="00F446F7" w:rsidRPr="00F446F7">
        <w:rPr>
          <w:rFonts w:asciiTheme="minorHAnsi" w:hAnsiTheme="minorHAnsi"/>
          <w:color w:val="000000" w:themeColor="text1"/>
          <w:sz w:val="24"/>
          <w:szCs w:val="24"/>
        </w:rPr>
        <w:t>R o rendimiento de la inversión.</w:t>
      </w:r>
      <w:r w:rsidR="00D64509" w:rsidRPr="00F446F7">
        <w:rPr>
          <w:rFonts w:asciiTheme="minorHAnsi" w:hAnsiTheme="minorHAnsi"/>
          <w:color w:val="000000" w:themeColor="text1"/>
          <w:sz w:val="24"/>
          <w:szCs w:val="24"/>
        </w:rPr>
        <w:t xml:space="preserve"> Este </w:t>
      </w:r>
      <w:r w:rsidR="00E40D20">
        <w:rPr>
          <w:rFonts w:asciiTheme="minorHAnsi" w:hAnsiTheme="minorHAnsi"/>
          <w:color w:val="000000" w:themeColor="text1"/>
          <w:sz w:val="24"/>
          <w:szCs w:val="24"/>
        </w:rPr>
        <w:t>elevado</w:t>
      </w:r>
      <w:r w:rsidR="00F446F7" w:rsidRPr="00F446F7">
        <w:rPr>
          <w:rFonts w:asciiTheme="minorHAnsi" w:hAnsiTheme="minorHAnsi"/>
          <w:color w:val="000000" w:themeColor="text1"/>
          <w:sz w:val="24"/>
          <w:szCs w:val="24"/>
        </w:rPr>
        <w:t xml:space="preserve"> rendimiento  neto </w:t>
      </w:r>
      <w:r w:rsidR="00D64509" w:rsidRPr="00F446F7">
        <w:rPr>
          <w:rFonts w:asciiTheme="minorHAnsi" w:hAnsiTheme="minorHAnsi"/>
          <w:color w:val="000000" w:themeColor="text1"/>
          <w:sz w:val="24"/>
          <w:szCs w:val="24"/>
        </w:rPr>
        <w:t xml:space="preserve">de la inversión </w:t>
      </w:r>
      <w:r w:rsidR="00E40D20">
        <w:rPr>
          <w:rFonts w:asciiTheme="minorHAnsi" w:hAnsiTheme="minorHAnsi"/>
          <w:color w:val="000000" w:themeColor="text1"/>
          <w:sz w:val="24"/>
          <w:szCs w:val="24"/>
        </w:rPr>
        <w:t xml:space="preserve">privada </w:t>
      </w:r>
      <w:r w:rsidR="00D64509" w:rsidRPr="00F446F7">
        <w:rPr>
          <w:rFonts w:asciiTheme="minorHAnsi" w:hAnsiTheme="minorHAnsi"/>
          <w:color w:val="000000" w:themeColor="text1"/>
          <w:sz w:val="24"/>
          <w:szCs w:val="24"/>
        </w:rPr>
        <w:t xml:space="preserve">obtenido por la </w:t>
      </w:r>
      <w:r w:rsidR="00E40D20">
        <w:rPr>
          <w:rFonts w:asciiTheme="minorHAnsi" w:hAnsiTheme="minorHAnsi"/>
          <w:color w:val="000000" w:themeColor="text1"/>
          <w:sz w:val="24"/>
          <w:szCs w:val="24"/>
        </w:rPr>
        <w:t xml:space="preserve">empresa </w:t>
      </w:r>
      <w:r w:rsidR="00F446F7" w:rsidRPr="00F446F7">
        <w:rPr>
          <w:rFonts w:asciiTheme="minorHAnsi" w:hAnsiTheme="minorHAnsi"/>
          <w:color w:val="000000" w:themeColor="text1"/>
          <w:sz w:val="24"/>
          <w:szCs w:val="24"/>
        </w:rPr>
        <w:t>c</w:t>
      </w:r>
      <w:r w:rsidR="00D64509" w:rsidRPr="00F446F7">
        <w:rPr>
          <w:rFonts w:asciiTheme="minorHAnsi" w:hAnsiTheme="minorHAnsi"/>
          <w:color w:val="000000" w:themeColor="text1"/>
          <w:sz w:val="24"/>
          <w:szCs w:val="24"/>
        </w:rPr>
        <w:t>oncesionaria</w:t>
      </w:r>
      <w:r w:rsidR="00F446F7" w:rsidRPr="00F446F7">
        <w:rPr>
          <w:rFonts w:asciiTheme="minorHAnsi" w:hAnsiTheme="minorHAnsi"/>
          <w:color w:val="000000" w:themeColor="text1"/>
          <w:sz w:val="24"/>
          <w:szCs w:val="24"/>
        </w:rPr>
        <w:t xml:space="preserve">, es </w:t>
      </w:r>
      <w:r w:rsidR="00906533">
        <w:rPr>
          <w:rFonts w:asciiTheme="minorHAnsi" w:hAnsiTheme="minorHAnsi"/>
          <w:color w:val="000000" w:themeColor="text1"/>
          <w:sz w:val="24"/>
          <w:szCs w:val="24"/>
        </w:rPr>
        <w:t xml:space="preserve">por contra </w:t>
      </w:r>
      <w:r w:rsidR="00F446F7" w:rsidRPr="00F446F7">
        <w:rPr>
          <w:rFonts w:asciiTheme="minorHAnsi" w:hAnsiTheme="minorHAnsi"/>
          <w:color w:val="000000" w:themeColor="text1"/>
          <w:sz w:val="24"/>
          <w:szCs w:val="24"/>
        </w:rPr>
        <w:t xml:space="preserve">socialmente ineficiente </w:t>
      </w:r>
      <w:r w:rsidR="00D64509" w:rsidRPr="00F446F7">
        <w:rPr>
          <w:rFonts w:asciiTheme="minorHAnsi" w:hAnsiTheme="minorHAnsi"/>
          <w:color w:val="000000" w:themeColor="text1"/>
          <w:sz w:val="24"/>
          <w:szCs w:val="24"/>
        </w:rPr>
        <w:t xml:space="preserve"> </w:t>
      </w:r>
      <w:r w:rsidR="00F446F7" w:rsidRPr="00F446F7">
        <w:rPr>
          <w:rFonts w:asciiTheme="minorHAnsi" w:hAnsiTheme="minorHAnsi"/>
          <w:color w:val="000000" w:themeColor="text1"/>
          <w:sz w:val="24"/>
          <w:szCs w:val="24"/>
        </w:rPr>
        <w:t>para las Administraciones Públicas</w:t>
      </w:r>
      <w:r w:rsidR="00D64509" w:rsidRPr="00F446F7">
        <w:rPr>
          <w:rFonts w:asciiTheme="minorHAnsi" w:hAnsiTheme="minorHAnsi"/>
          <w:color w:val="000000" w:themeColor="text1"/>
          <w:sz w:val="24"/>
          <w:szCs w:val="24"/>
        </w:rPr>
        <w:t>.</w:t>
      </w:r>
    </w:p>
    <w:p w:rsidR="00DB03D8" w:rsidRPr="00F446F7" w:rsidRDefault="00DB03D8"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La rentabilidad</w:t>
      </w:r>
      <w:r w:rsidR="00906533">
        <w:rPr>
          <w:rFonts w:asciiTheme="minorHAnsi" w:hAnsiTheme="minorHAnsi"/>
          <w:color w:val="000000" w:themeColor="text1"/>
          <w:sz w:val="24"/>
          <w:szCs w:val="24"/>
        </w:rPr>
        <w:t>-</w:t>
      </w:r>
      <w:r w:rsidRPr="00F446F7">
        <w:rPr>
          <w:rFonts w:asciiTheme="minorHAnsi" w:hAnsiTheme="minorHAnsi"/>
          <w:color w:val="000000" w:themeColor="text1"/>
          <w:sz w:val="24"/>
          <w:szCs w:val="24"/>
        </w:rPr>
        <w:t>TIR del accionista sigue siendo elevada en e</w:t>
      </w:r>
      <w:r w:rsidR="00906533">
        <w:rPr>
          <w:rFonts w:asciiTheme="minorHAnsi" w:hAnsiTheme="minorHAnsi"/>
          <w:color w:val="000000" w:themeColor="text1"/>
          <w:sz w:val="24"/>
          <w:szCs w:val="24"/>
        </w:rPr>
        <w:t>l</w:t>
      </w:r>
      <w:r w:rsidRPr="00F446F7">
        <w:rPr>
          <w:rFonts w:asciiTheme="minorHAnsi" w:hAnsiTheme="minorHAnsi"/>
          <w:color w:val="000000" w:themeColor="text1"/>
          <w:sz w:val="24"/>
          <w:szCs w:val="24"/>
        </w:rPr>
        <w:t xml:space="preserve"> sistema de concesión-PFI, a pesar del ajuste en las variables  del modelo de financiación que ha generado el nuevo Plan Contable (1 de enero 2011), que anticipa los beneficios en el pago de impuestos desde el 2º año de la concesión.</w:t>
      </w:r>
    </w:p>
    <w:p w:rsidR="00D64509" w:rsidRPr="00F446F7" w:rsidRDefault="00D64509" w:rsidP="00F446F7">
      <w:pPr>
        <w:pStyle w:val="Textoindependiente3"/>
        <w:numPr>
          <w:ilvl w:val="0"/>
          <w:numId w:val="4"/>
        </w:numPr>
        <w:spacing w:after="120"/>
        <w:rPr>
          <w:rFonts w:asciiTheme="minorHAnsi" w:hAnsiTheme="minorHAnsi"/>
          <w:color w:val="000000" w:themeColor="text1"/>
          <w:sz w:val="24"/>
          <w:szCs w:val="24"/>
        </w:rPr>
      </w:pPr>
      <w:r w:rsidRPr="00F446F7">
        <w:rPr>
          <w:rFonts w:asciiTheme="minorHAnsi" w:hAnsiTheme="minorHAnsi"/>
          <w:color w:val="000000" w:themeColor="text1"/>
          <w:sz w:val="24"/>
          <w:szCs w:val="24"/>
        </w:rPr>
        <w:t xml:space="preserve">La experiencia en España de modelos PFI–hospitales en los últimos 15 años pone en evidencia </w:t>
      </w:r>
      <w:r w:rsidR="002456CA" w:rsidRPr="00F446F7">
        <w:rPr>
          <w:rFonts w:asciiTheme="minorHAnsi" w:hAnsiTheme="minorHAnsi"/>
          <w:color w:val="000000" w:themeColor="text1"/>
          <w:sz w:val="24"/>
          <w:szCs w:val="24"/>
        </w:rPr>
        <w:t>que el compromiso de gasto público ha superado críticamente la inversión inicial, a precios del año de inicio de la construcción.</w:t>
      </w:r>
    </w:p>
    <w:p w:rsidR="00217378" w:rsidRPr="00F446F7" w:rsidRDefault="00217378" w:rsidP="00F446F7">
      <w:pPr>
        <w:jc w:val="both"/>
        <w:rPr>
          <w:rFonts w:eastAsia="Batang" w:cs="Arial"/>
          <w:b/>
          <w:color w:val="000000" w:themeColor="text1"/>
          <w:sz w:val="24"/>
          <w:szCs w:val="24"/>
          <w:lang w:eastAsia="es-ES"/>
        </w:rPr>
      </w:pPr>
      <w:r w:rsidRPr="00F446F7">
        <w:rPr>
          <w:color w:val="000000" w:themeColor="text1"/>
          <w:sz w:val="24"/>
          <w:szCs w:val="24"/>
        </w:rPr>
        <w:t xml:space="preserve">En </w:t>
      </w:r>
      <w:r w:rsidR="00F446F7" w:rsidRPr="00F446F7">
        <w:rPr>
          <w:color w:val="000000" w:themeColor="text1"/>
          <w:sz w:val="24"/>
          <w:szCs w:val="24"/>
        </w:rPr>
        <w:t>resumen</w:t>
      </w:r>
      <w:r w:rsidRPr="00F446F7">
        <w:rPr>
          <w:color w:val="000000" w:themeColor="text1"/>
          <w:sz w:val="24"/>
          <w:szCs w:val="24"/>
        </w:rPr>
        <w:t>, y considerando plenamente leg</w:t>
      </w:r>
      <w:r w:rsidR="00F446F7" w:rsidRPr="00F446F7">
        <w:rPr>
          <w:color w:val="000000" w:themeColor="text1"/>
          <w:sz w:val="24"/>
          <w:szCs w:val="24"/>
        </w:rPr>
        <w:t>í</w:t>
      </w:r>
      <w:r w:rsidRPr="00F446F7">
        <w:rPr>
          <w:color w:val="000000" w:themeColor="text1"/>
          <w:sz w:val="24"/>
          <w:szCs w:val="24"/>
        </w:rPr>
        <w:t>tim</w:t>
      </w:r>
      <w:r w:rsidR="00F446F7" w:rsidRPr="00F446F7">
        <w:rPr>
          <w:color w:val="000000" w:themeColor="text1"/>
          <w:sz w:val="24"/>
          <w:szCs w:val="24"/>
        </w:rPr>
        <w:t>os</w:t>
      </w:r>
      <w:r w:rsidRPr="00F446F7">
        <w:rPr>
          <w:color w:val="000000" w:themeColor="text1"/>
          <w:sz w:val="24"/>
          <w:szCs w:val="24"/>
        </w:rPr>
        <w:t xml:space="preserve"> los fundamentos técnicos y </w:t>
      </w:r>
      <w:r w:rsidR="00F446F7" w:rsidRPr="00F446F7">
        <w:rPr>
          <w:color w:val="000000" w:themeColor="text1"/>
          <w:sz w:val="24"/>
          <w:szCs w:val="24"/>
        </w:rPr>
        <w:t xml:space="preserve">los </w:t>
      </w:r>
      <w:r w:rsidRPr="00F446F7">
        <w:rPr>
          <w:color w:val="000000" w:themeColor="text1"/>
          <w:sz w:val="24"/>
          <w:szCs w:val="24"/>
        </w:rPr>
        <w:t xml:space="preserve">criterios </w:t>
      </w:r>
      <w:r w:rsidR="00F446F7" w:rsidRPr="00F446F7">
        <w:rPr>
          <w:color w:val="000000" w:themeColor="text1"/>
          <w:sz w:val="24"/>
          <w:szCs w:val="24"/>
        </w:rPr>
        <w:t xml:space="preserve">de rentabilidad </w:t>
      </w:r>
      <w:r w:rsidRPr="00F446F7">
        <w:rPr>
          <w:color w:val="000000" w:themeColor="text1"/>
          <w:sz w:val="24"/>
          <w:szCs w:val="24"/>
        </w:rPr>
        <w:t xml:space="preserve">que promueven agentes económicos a través </w:t>
      </w:r>
      <w:r w:rsidR="00F446F7" w:rsidRPr="00F446F7">
        <w:rPr>
          <w:color w:val="000000" w:themeColor="text1"/>
          <w:sz w:val="24"/>
          <w:szCs w:val="24"/>
        </w:rPr>
        <w:t>de sociedades concesionarias, bajo</w:t>
      </w:r>
      <w:r w:rsidRPr="00F446F7">
        <w:rPr>
          <w:color w:val="000000" w:themeColor="text1"/>
          <w:sz w:val="24"/>
          <w:szCs w:val="24"/>
        </w:rPr>
        <w:t xml:space="preserve"> diferentes modelos de CCPs para inversión en infraestructuras públicas sanitarias, la evidencia disponible </w:t>
      </w:r>
      <w:r w:rsidR="00F446F7" w:rsidRPr="00F446F7">
        <w:rPr>
          <w:color w:val="000000" w:themeColor="text1"/>
          <w:sz w:val="24"/>
          <w:szCs w:val="24"/>
        </w:rPr>
        <w:t xml:space="preserve">aquí expuesta </w:t>
      </w:r>
      <w:r w:rsidRPr="00F446F7">
        <w:rPr>
          <w:color w:val="000000" w:themeColor="text1"/>
          <w:sz w:val="24"/>
          <w:szCs w:val="24"/>
        </w:rPr>
        <w:t>cuestiona que esta</w:t>
      </w:r>
      <w:r w:rsidR="00F446F7" w:rsidRPr="00F446F7">
        <w:rPr>
          <w:color w:val="000000" w:themeColor="text1"/>
          <w:sz w:val="24"/>
          <w:szCs w:val="24"/>
        </w:rPr>
        <w:t>s</w:t>
      </w:r>
      <w:r w:rsidRPr="00F446F7">
        <w:rPr>
          <w:color w:val="000000" w:themeColor="text1"/>
          <w:sz w:val="24"/>
          <w:szCs w:val="24"/>
        </w:rPr>
        <w:t xml:space="preserve"> alternativa</w:t>
      </w:r>
      <w:r w:rsidR="00F446F7" w:rsidRPr="00F446F7">
        <w:rPr>
          <w:color w:val="000000" w:themeColor="text1"/>
          <w:sz w:val="24"/>
          <w:szCs w:val="24"/>
        </w:rPr>
        <w:t>s</w:t>
      </w:r>
      <w:r w:rsidRPr="00F446F7">
        <w:rPr>
          <w:color w:val="000000" w:themeColor="text1"/>
          <w:sz w:val="24"/>
          <w:szCs w:val="24"/>
        </w:rPr>
        <w:t xml:space="preserve"> de privatización sean las más eficiente</w:t>
      </w:r>
      <w:r w:rsidR="00F446F7" w:rsidRPr="00F446F7">
        <w:rPr>
          <w:color w:val="000000" w:themeColor="text1"/>
          <w:sz w:val="24"/>
          <w:szCs w:val="24"/>
        </w:rPr>
        <w:t xml:space="preserve">s socialmente </w:t>
      </w:r>
      <w:r w:rsidRPr="00F446F7">
        <w:rPr>
          <w:color w:val="000000" w:themeColor="text1"/>
          <w:sz w:val="24"/>
          <w:szCs w:val="24"/>
        </w:rPr>
        <w:t xml:space="preserve">para las AA.PP y el </w:t>
      </w:r>
      <w:r w:rsidR="00F446F7" w:rsidRPr="00F446F7">
        <w:rPr>
          <w:color w:val="000000" w:themeColor="text1"/>
          <w:sz w:val="24"/>
          <w:szCs w:val="24"/>
        </w:rPr>
        <w:t>i</w:t>
      </w:r>
      <w:r w:rsidRPr="00F446F7">
        <w:rPr>
          <w:color w:val="000000" w:themeColor="text1"/>
          <w:sz w:val="24"/>
          <w:szCs w:val="24"/>
        </w:rPr>
        <w:t>nter</w:t>
      </w:r>
      <w:r w:rsidR="00F446F7" w:rsidRPr="00F446F7">
        <w:rPr>
          <w:color w:val="000000" w:themeColor="text1"/>
          <w:sz w:val="24"/>
          <w:szCs w:val="24"/>
        </w:rPr>
        <w:t>é</w:t>
      </w:r>
      <w:r w:rsidRPr="00F446F7">
        <w:rPr>
          <w:color w:val="000000" w:themeColor="text1"/>
          <w:sz w:val="24"/>
          <w:szCs w:val="24"/>
        </w:rPr>
        <w:t>s general de la sociedad.</w:t>
      </w:r>
      <w:r w:rsidRPr="00F446F7">
        <w:rPr>
          <w:b/>
          <w:color w:val="000000" w:themeColor="text1"/>
          <w:sz w:val="24"/>
          <w:szCs w:val="24"/>
        </w:rPr>
        <w:t xml:space="preserve"> </w:t>
      </w:r>
      <w:r w:rsidRPr="00F446F7">
        <w:rPr>
          <w:b/>
          <w:color w:val="000000" w:themeColor="text1"/>
          <w:sz w:val="24"/>
          <w:szCs w:val="24"/>
        </w:rPr>
        <w:br w:type="page"/>
      </w:r>
    </w:p>
    <w:p w:rsidR="00AE14F3" w:rsidRPr="00F446F7" w:rsidRDefault="009654DC" w:rsidP="00F446F7">
      <w:pPr>
        <w:pStyle w:val="Textoindependiente3"/>
        <w:spacing w:after="120"/>
        <w:rPr>
          <w:rFonts w:asciiTheme="minorHAnsi" w:hAnsiTheme="minorHAnsi"/>
          <w:b/>
          <w:color w:val="000000" w:themeColor="text1"/>
          <w:sz w:val="24"/>
          <w:szCs w:val="24"/>
        </w:rPr>
      </w:pPr>
      <w:r w:rsidRPr="00F446F7">
        <w:rPr>
          <w:rFonts w:asciiTheme="minorHAnsi" w:hAnsiTheme="minorHAnsi"/>
          <w:b/>
          <w:color w:val="000000" w:themeColor="text1"/>
          <w:sz w:val="24"/>
          <w:szCs w:val="24"/>
        </w:rPr>
        <w:lastRenderedPageBreak/>
        <w:t>REFERENCIAS QUE APOYAN LOS CRITERIOS Y VALORACIONES EXPUEST</w:t>
      </w:r>
      <w:r w:rsidR="00906533">
        <w:rPr>
          <w:rFonts w:asciiTheme="minorHAnsi" w:hAnsiTheme="minorHAnsi"/>
          <w:b/>
          <w:color w:val="000000" w:themeColor="text1"/>
          <w:sz w:val="24"/>
          <w:szCs w:val="24"/>
        </w:rPr>
        <w:t>O</w:t>
      </w:r>
      <w:r w:rsidRPr="00F446F7">
        <w:rPr>
          <w:rFonts w:asciiTheme="minorHAnsi" w:hAnsiTheme="minorHAnsi"/>
          <w:b/>
          <w:color w:val="000000" w:themeColor="text1"/>
          <w:sz w:val="24"/>
          <w:szCs w:val="24"/>
        </w:rPr>
        <w:t xml:space="preserve">S EN ESTE </w:t>
      </w:r>
      <w:proofErr w:type="gramStart"/>
      <w:r w:rsidRPr="00F446F7">
        <w:rPr>
          <w:rFonts w:asciiTheme="minorHAnsi" w:hAnsiTheme="minorHAnsi"/>
          <w:b/>
          <w:color w:val="000000" w:themeColor="text1"/>
          <w:sz w:val="24"/>
          <w:szCs w:val="24"/>
        </w:rPr>
        <w:t>ARTICULO</w:t>
      </w:r>
      <w:proofErr w:type="gramEnd"/>
      <w:r w:rsidR="0063538B" w:rsidRPr="00F446F7">
        <w:rPr>
          <w:rFonts w:asciiTheme="minorHAnsi" w:hAnsiTheme="minorHAnsi"/>
          <w:b/>
          <w:color w:val="000000" w:themeColor="text1"/>
          <w:sz w:val="24"/>
          <w:szCs w:val="24"/>
        </w:rPr>
        <w:t>.</w:t>
      </w:r>
    </w:p>
    <w:p w:rsidR="0063538B" w:rsidRPr="00F446F7" w:rsidRDefault="0063538B" w:rsidP="00F446F7">
      <w:pPr>
        <w:pStyle w:val="Textoindependiente3"/>
        <w:spacing w:after="120"/>
        <w:rPr>
          <w:rFonts w:asciiTheme="minorHAnsi" w:hAnsiTheme="minorHAnsi"/>
          <w:b/>
          <w:color w:val="000000" w:themeColor="text1"/>
          <w:sz w:val="24"/>
          <w:szCs w:val="24"/>
        </w:rPr>
      </w:pPr>
    </w:p>
    <w:p w:rsidR="00B3613E" w:rsidRPr="00F446F7" w:rsidRDefault="00B3613E" w:rsidP="00F446F7">
      <w:pPr>
        <w:pStyle w:val="Prrafodelista"/>
        <w:numPr>
          <w:ilvl w:val="0"/>
          <w:numId w:val="16"/>
        </w:numPr>
        <w:autoSpaceDE w:val="0"/>
        <w:autoSpaceDN w:val="0"/>
        <w:adjustRightInd w:val="0"/>
        <w:spacing w:after="120"/>
        <w:jc w:val="both"/>
        <w:rPr>
          <w:rFonts w:asciiTheme="minorHAnsi" w:hAnsiTheme="minorHAnsi"/>
          <w:lang w:val="en-US"/>
        </w:rPr>
      </w:pPr>
      <w:proofErr w:type="spellStart"/>
      <w:r w:rsidRPr="00F446F7">
        <w:rPr>
          <w:rFonts w:asciiTheme="minorHAnsi" w:hAnsiTheme="minorHAnsi"/>
          <w:lang w:val="en-US"/>
        </w:rPr>
        <w:t>Acerete</w:t>
      </w:r>
      <w:proofErr w:type="spellEnd"/>
      <w:r w:rsidRPr="00F446F7">
        <w:rPr>
          <w:rFonts w:asciiTheme="minorHAnsi" w:hAnsiTheme="minorHAnsi"/>
          <w:lang w:val="en-US"/>
        </w:rPr>
        <w:t xml:space="preserve"> B, </w:t>
      </w:r>
      <w:proofErr w:type="spellStart"/>
      <w:r w:rsidRPr="00F446F7">
        <w:rPr>
          <w:rFonts w:asciiTheme="minorHAnsi" w:hAnsiTheme="minorHAnsi"/>
          <w:lang w:val="en-US"/>
        </w:rPr>
        <w:t>Shaoul</w:t>
      </w:r>
      <w:proofErr w:type="spellEnd"/>
      <w:r w:rsidRPr="00F446F7">
        <w:rPr>
          <w:rFonts w:asciiTheme="minorHAnsi" w:hAnsiTheme="minorHAnsi"/>
          <w:lang w:val="en-US"/>
        </w:rPr>
        <w:t xml:space="preserve"> J</w:t>
      </w:r>
      <w:r w:rsidR="00906533">
        <w:rPr>
          <w:rFonts w:asciiTheme="minorHAnsi" w:hAnsiTheme="minorHAnsi"/>
          <w:lang w:val="en-US"/>
        </w:rPr>
        <w:t>,</w:t>
      </w:r>
      <w:r w:rsidRPr="00F446F7">
        <w:rPr>
          <w:rFonts w:asciiTheme="minorHAnsi" w:hAnsiTheme="minorHAnsi"/>
          <w:lang w:val="en-US"/>
        </w:rPr>
        <w:t xml:space="preserve"> </w:t>
      </w:r>
      <w:proofErr w:type="gramStart"/>
      <w:r w:rsidRPr="00F446F7">
        <w:rPr>
          <w:rFonts w:asciiTheme="minorHAnsi" w:hAnsiTheme="minorHAnsi"/>
          <w:lang w:val="en-US"/>
        </w:rPr>
        <w:t>Stafford</w:t>
      </w:r>
      <w:proofErr w:type="gramEnd"/>
      <w:r w:rsidRPr="00F446F7">
        <w:rPr>
          <w:rFonts w:asciiTheme="minorHAnsi" w:hAnsiTheme="minorHAnsi"/>
          <w:lang w:val="en-US"/>
        </w:rPr>
        <w:t xml:space="preserve"> A. “Taking its toll: the cost of private roads in Spain”</w:t>
      </w:r>
      <w:r w:rsidR="00906533">
        <w:rPr>
          <w:rFonts w:asciiTheme="minorHAnsi" w:hAnsiTheme="minorHAnsi"/>
          <w:lang w:val="en-US"/>
        </w:rPr>
        <w:t>.</w:t>
      </w:r>
      <w:r w:rsidRPr="00F446F7">
        <w:rPr>
          <w:rFonts w:asciiTheme="minorHAnsi" w:hAnsiTheme="minorHAnsi"/>
          <w:lang w:val="en-US"/>
        </w:rPr>
        <w:t xml:space="preserve"> </w:t>
      </w:r>
      <w:r w:rsidRPr="00F446F7">
        <w:rPr>
          <w:rFonts w:asciiTheme="minorHAnsi" w:hAnsiTheme="minorHAnsi"/>
          <w:i/>
          <w:iCs/>
          <w:lang w:val="en-US"/>
        </w:rPr>
        <w:t xml:space="preserve">Public Money and </w:t>
      </w:r>
      <w:proofErr w:type="spellStart"/>
      <w:r w:rsidRPr="00F446F7">
        <w:rPr>
          <w:rFonts w:asciiTheme="minorHAnsi" w:hAnsiTheme="minorHAnsi"/>
          <w:i/>
          <w:iCs/>
          <w:lang w:val="en-US"/>
        </w:rPr>
        <w:t>Managemen</w:t>
      </w:r>
      <w:proofErr w:type="spellEnd"/>
      <w:r w:rsidRPr="00F446F7">
        <w:rPr>
          <w:rFonts w:asciiTheme="minorHAnsi" w:hAnsiTheme="minorHAnsi"/>
          <w:lang w:val="en-US"/>
        </w:rPr>
        <w:t xml:space="preserve"> </w:t>
      </w:r>
      <w:r w:rsidR="00906533">
        <w:rPr>
          <w:rFonts w:asciiTheme="minorHAnsi" w:hAnsiTheme="minorHAnsi"/>
          <w:lang w:val="en-US"/>
        </w:rPr>
        <w:t xml:space="preserve">2009; </w:t>
      </w:r>
      <w:r w:rsidRPr="00F446F7">
        <w:rPr>
          <w:rFonts w:asciiTheme="minorHAnsi" w:hAnsiTheme="minorHAnsi"/>
          <w:lang w:val="en-US"/>
        </w:rPr>
        <w:t>29</w:t>
      </w:r>
      <w:r w:rsidR="00906533">
        <w:rPr>
          <w:rFonts w:asciiTheme="minorHAnsi" w:hAnsiTheme="minorHAnsi"/>
          <w:lang w:val="en-US"/>
        </w:rPr>
        <w:t xml:space="preserve"> (</w:t>
      </w:r>
      <w:r w:rsidRPr="00F446F7">
        <w:rPr>
          <w:rFonts w:asciiTheme="minorHAnsi" w:hAnsiTheme="minorHAnsi"/>
          <w:lang w:val="en-US"/>
        </w:rPr>
        <w:t>1</w:t>
      </w:r>
      <w:r w:rsidR="00906533">
        <w:rPr>
          <w:rFonts w:asciiTheme="minorHAnsi" w:hAnsiTheme="minorHAnsi"/>
          <w:lang w:val="en-US"/>
        </w:rPr>
        <w:t>):</w:t>
      </w:r>
      <w:r w:rsidRPr="00F446F7">
        <w:rPr>
          <w:rFonts w:asciiTheme="minorHAnsi" w:hAnsiTheme="minorHAnsi"/>
          <w:lang w:val="en-US"/>
        </w:rPr>
        <w:t>19-26.</w:t>
      </w:r>
    </w:p>
    <w:p w:rsidR="00B3613E" w:rsidRPr="00F446F7" w:rsidRDefault="00B3613E" w:rsidP="00F446F7">
      <w:pPr>
        <w:pStyle w:val="Prrafodelista"/>
        <w:numPr>
          <w:ilvl w:val="0"/>
          <w:numId w:val="16"/>
        </w:numPr>
        <w:autoSpaceDE w:val="0"/>
        <w:autoSpaceDN w:val="0"/>
        <w:adjustRightInd w:val="0"/>
        <w:spacing w:after="120"/>
        <w:jc w:val="both"/>
        <w:rPr>
          <w:rFonts w:asciiTheme="minorHAnsi" w:hAnsiTheme="minorHAnsi" w:cs="FrutigerLTStd-LightCn"/>
          <w:lang w:val="en-US"/>
        </w:rPr>
      </w:pPr>
      <w:proofErr w:type="spellStart"/>
      <w:r w:rsidRPr="00F446F7">
        <w:rPr>
          <w:rFonts w:asciiTheme="minorHAnsi" w:hAnsiTheme="minorHAnsi"/>
          <w:lang w:val="en-US"/>
        </w:rPr>
        <w:t>Acerete</w:t>
      </w:r>
      <w:proofErr w:type="spellEnd"/>
      <w:r w:rsidR="00906533">
        <w:rPr>
          <w:rFonts w:asciiTheme="minorHAnsi" w:hAnsiTheme="minorHAnsi"/>
          <w:lang w:val="en-US"/>
        </w:rPr>
        <w:t xml:space="preserve"> B, </w:t>
      </w:r>
      <w:proofErr w:type="spellStart"/>
      <w:r w:rsidR="00906533">
        <w:rPr>
          <w:rFonts w:asciiTheme="minorHAnsi" w:hAnsiTheme="minorHAnsi"/>
          <w:lang w:val="en-US"/>
        </w:rPr>
        <w:t>Shaoul</w:t>
      </w:r>
      <w:proofErr w:type="spellEnd"/>
      <w:r w:rsidR="00906533">
        <w:rPr>
          <w:rFonts w:asciiTheme="minorHAnsi" w:hAnsiTheme="minorHAnsi"/>
          <w:lang w:val="en-US"/>
        </w:rPr>
        <w:t xml:space="preserve"> J, Stafford</w:t>
      </w:r>
      <w:r w:rsidRPr="00F446F7">
        <w:rPr>
          <w:rFonts w:asciiTheme="minorHAnsi" w:hAnsiTheme="minorHAnsi"/>
          <w:lang w:val="en-US"/>
        </w:rPr>
        <w:t xml:space="preserve"> A</w:t>
      </w:r>
      <w:r w:rsidR="00906533">
        <w:rPr>
          <w:rFonts w:asciiTheme="minorHAnsi" w:hAnsiTheme="minorHAnsi"/>
          <w:lang w:val="en-US"/>
        </w:rPr>
        <w:t xml:space="preserve">, </w:t>
      </w:r>
      <w:r w:rsidRPr="00F446F7">
        <w:rPr>
          <w:rFonts w:asciiTheme="minorHAnsi" w:hAnsiTheme="minorHAnsi"/>
          <w:lang w:val="en-US"/>
        </w:rPr>
        <w:t>Stapleton, P. “The cost of using private finance</w:t>
      </w:r>
      <w:r w:rsidR="007522E0">
        <w:rPr>
          <w:rFonts w:asciiTheme="minorHAnsi" w:hAnsiTheme="minorHAnsi"/>
          <w:lang w:val="en-US"/>
        </w:rPr>
        <w:t xml:space="preserve"> for roads in Spain and the UK”.</w:t>
      </w:r>
      <w:r w:rsidRPr="00F446F7">
        <w:rPr>
          <w:rFonts w:asciiTheme="minorHAnsi" w:hAnsiTheme="minorHAnsi"/>
          <w:lang w:val="en-US"/>
        </w:rPr>
        <w:t xml:space="preserve"> </w:t>
      </w:r>
      <w:r w:rsidRPr="00F446F7">
        <w:rPr>
          <w:rFonts w:asciiTheme="minorHAnsi" w:hAnsiTheme="minorHAnsi"/>
          <w:i/>
          <w:iCs/>
          <w:lang w:val="en-US"/>
        </w:rPr>
        <w:t>Australian Journal of Public Administration</w:t>
      </w:r>
      <w:r w:rsidR="007522E0">
        <w:rPr>
          <w:rFonts w:asciiTheme="minorHAnsi" w:hAnsiTheme="minorHAnsi"/>
          <w:i/>
          <w:iCs/>
          <w:lang w:val="en-US"/>
        </w:rPr>
        <w:t xml:space="preserve"> 2010; </w:t>
      </w:r>
      <w:r w:rsidRPr="00F446F7">
        <w:rPr>
          <w:rFonts w:asciiTheme="minorHAnsi" w:hAnsiTheme="minorHAnsi"/>
          <w:lang w:val="en-US"/>
        </w:rPr>
        <w:t>69</w:t>
      </w:r>
      <w:r w:rsidR="007522E0">
        <w:rPr>
          <w:rFonts w:asciiTheme="minorHAnsi" w:hAnsiTheme="minorHAnsi"/>
          <w:lang w:val="en-US"/>
        </w:rPr>
        <w:t xml:space="preserve"> (</w:t>
      </w:r>
      <w:r w:rsidRPr="00F446F7">
        <w:rPr>
          <w:rFonts w:asciiTheme="minorHAnsi" w:hAnsiTheme="minorHAnsi"/>
          <w:lang w:val="en-US"/>
        </w:rPr>
        <w:t>1</w:t>
      </w:r>
      <w:r w:rsidR="007522E0">
        <w:rPr>
          <w:rFonts w:asciiTheme="minorHAnsi" w:hAnsiTheme="minorHAnsi"/>
          <w:lang w:val="en-US"/>
        </w:rPr>
        <w:t>):48-</w:t>
      </w:r>
      <w:r w:rsidRPr="00F446F7">
        <w:rPr>
          <w:rFonts w:asciiTheme="minorHAnsi" w:hAnsiTheme="minorHAnsi"/>
          <w:lang w:val="en-US"/>
        </w:rPr>
        <w:t>60.</w:t>
      </w:r>
    </w:p>
    <w:p w:rsidR="003E33B3" w:rsidRPr="00F446F7" w:rsidRDefault="0063538B" w:rsidP="00F446F7">
      <w:pPr>
        <w:pStyle w:val="Prrafodelista"/>
        <w:numPr>
          <w:ilvl w:val="0"/>
          <w:numId w:val="16"/>
        </w:numPr>
        <w:autoSpaceDE w:val="0"/>
        <w:autoSpaceDN w:val="0"/>
        <w:adjustRightInd w:val="0"/>
        <w:spacing w:after="120"/>
        <w:jc w:val="both"/>
        <w:rPr>
          <w:rFonts w:asciiTheme="minorHAnsi" w:hAnsiTheme="minorHAnsi"/>
          <w:i/>
          <w:iCs/>
          <w:lang w:val="en-US"/>
        </w:rPr>
      </w:pPr>
      <w:proofErr w:type="spellStart"/>
      <w:r w:rsidRPr="00F446F7">
        <w:rPr>
          <w:rFonts w:asciiTheme="minorHAnsi" w:eastAsiaTheme="minorHAnsi" w:hAnsiTheme="minorHAnsi" w:cs="FrutigerLTStd-LightCn"/>
          <w:lang w:val="en-US"/>
        </w:rPr>
        <w:t>Atun</w:t>
      </w:r>
      <w:proofErr w:type="spellEnd"/>
      <w:r w:rsidRPr="00F446F7">
        <w:rPr>
          <w:rFonts w:asciiTheme="minorHAnsi" w:eastAsiaTheme="minorHAnsi" w:hAnsiTheme="minorHAnsi" w:cs="FrutigerLTStd-LightCn"/>
          <w:lang w:val="en-US"/>
        </w:rPr>
        <w:t xml:space="preserve"> RA, McKee M. Is the private finance initiative dead? BMJ 2005</w:t>
      </w:r>
      <w:proofErr w:type="gramStart"/>
      <w:r w:rsidRPr="00F446F7">
        <w:rPr>
          <w:rFonts w:asciiTheme="minorHAnsi" w:eastAsiaTheme="minorHAnsi" w:hAnsiTheme="minorHAnsi" w:cs="FrutigerLTStd-LightCn"/>
          <w:lang w:val="en-US"/>
        </w:rPr>
        <w:t>;331:792</w:t>
      </w:r>
      <w:proofErr w:type="gramEnd"/>
      <w:r w:rsidRPr="00F446F7">
        <w:rPr>
          <w:rFonts w:asciiTheme="minorHAnsi" w:eastAsiaTheme="minorHAnsi" w:hAnsiTheme="minorHAnsi" w:cs="FrutigerLTStd-LightCn"/>
          <w:lang w:val="en-US"/>
        </w:rPr>
        <w:t>-3.</w:t>
      </w:r>
      <w:r w:rsidR="003E33B3" w:rsidRPr="00F446F7">
        <w:rPr>
          <w:rFonts w:asciiTheme="minorHAnsi" w:eastAsiaTheme="minorHAnsi" w:hAnsiTheme="minorHAnsi" w:cs="FrutigerLTStd-LightCn"/>
          <w:lang w:val="en-US"/>
        </w:rPr>
        <w:t xml:space="preserve"> </w:t>
      </w:r>
    </w:p>
    <w:p w:rsidR="003E33B3" w:rsidRPr="00F446F7" w:rsidRDefault="0063538B" w:rsidP="00F446F7">
      <w:pPr>
        <w:pStyle w:val="Prrafodelista"/>
        <w:numPr>
          <w:ilvl w:val="0"/>
          <w:numId w:val="16"/>
        </w:numPr>
        <w:autoSpaceDE w:val="0"/>
        <w:autoSpaceDN w:val="0"/>
        <w:adjustRightInd w:val="0"/>
        <w:spacing w:after="120"/>
        <w:jc w:val="both"/>
        <w:rPr>
          <w:rFonts w:asciiTheme="minorHAnsi" w:hAnsiTheme="minorHAnsi"/>
          <w:i/>
          <w:iCs/>
          <w:lang w:val="en-US"/>
        </w:rPr>
      </w:pPr>
      <w:proofErr w:type="spellStart"/>
      <w:r w:rsidRPr="00F446F7">
        <w:rPr>
          <w:rFonts w:asciiTheme="minorHAnsi" w:eastAsiaTheme="minorHAnsi" w:hAnsiTheme="minorHAnsi" w:cs="FrutigerLTStd-LightCn"/>
          <w:lang w:val="en-US"/>
        </w:rPr>
        <w:t>Auerbach</w:t>
      </w:r>
      <w:proofErr w:type="spellEnd"/>
      <w:r w:rsidRPr="00F446F7">
        <w:rPr>
          <w:rFonts w:asciiTheme="minorHAnsi" w:eastAsiaTheme="minorHAnsi" w:hAnsiTheme="minorHAnsi" w:cs="FrutigerLTStd-LightCn"/>
          <w:lang w:val="en-US"/>
        </w:rPr>
        <w:t xml:space="preserve"> L. Issues raised by public–private partnerships in Ontario’s hospital</w:t>
      </w:r>
      <w:r w:rsidR="00CC5D44" w:rsidRPr="00F446F7">
        <w:rPr>
          <w:rFonts w:asciiTheme="minorHAnsi" w:eastAsiaTheme="minorHAnsi" w:hAnsiTheme="minorHAnsi" w:cs="FrutigerLTStd-LightCn"/>
          <w:lang w:val="en-US"/>
        </w:rPr>
        <w:t xml:space="preserve"> </w:t>
      </w:r>
      <w:r w:rsidRPr="00F446F7">
        <w:rPr>
          <w:rFonts w:asciiTheme="minorHAnsi" w:eastAsiaTheme="minorHAnsi" w:hAnsiTheme="minorHAnsi" w:cs="FrutigerLTStd-LightCn"/>
          <w:lang w:val="en-US"/>
        </w:rPr>
        <w:t>sector. Ottawa: Canadian Health Coalition; 2002.</w:t>
      </w:r>
      <w:r w:rsidR="003E33B3" w:rsidRPr="00F446F7">
        <w:rPr>
          <w:rFonts w:asciiTheme="minorHAnsi" w:eastAsiaTheme="minorHAnsi" w:hAnsiTheme="minorHAnsi" w:cs="FrutigerLTStd-LightCn"/>
          <w:lang w:val="en-US"/>
        </w:rPr>
        <w:t xml:space="preserve"> </w:t>
      </w:r>
    </w:p>
    <w:p w:rsidR="0063538B" w:rsidRPr="007522E0" w:rsidRDefault="003E33B3" w:rsidP="007522E0">
      <w:pPr>
        <w:pStyle w:val="Prrafodelista"/>
        <w:numPr>
          <w:ilvl w:val="0"/>
          <w:numId w:val="16"/>
        </w:numPr>
        <w:autoSpaceDE w:val="0"/>
        <w:autoSpaceDN w:val="0"/>
        <w:adjustRightInd w:val="0"/>
        <w:spacing w:after="120"/>
        <w:jc w:val="both"/>
        <w:rPr>
          <w:rFonts w:asciiTheme="minorHAnsi" w:eastAsiaTheme="minorHAnsi" w:hAnsiTheme="minorHAnsi" w:cs="FrutigerLTStd-LightCn"/>
          <w:lang w:val="en-US"/>
        </w:rPr>
      </w:pPr>
      <w:r w:rsidRPr="007522E0">
        <w:rPr>
          <w:rFonts w:asciiTheme="minorHAnsi" w:hAnsiTheme="minorHAnsi"/>
        </w:rPr>
        <w:t>Benito</w:t>
      </w:r>
      <w:r w:rsidR="007522E0" w:rsidRPr="007522E0">
        <w:rPr>
          <w:rFonts w:asciiTheme="minorHAnsi" w:hAnsiTheme="minorHAnsi"/>
        </w:rPr>
        <w:t xml:space="preserve"> B, Montesinos </w:t>
      </w:r>
      <w:r w:rsidRPr="007522E0">
        <w:rPr>
          <w:rFonts w:asciiTheme="minorHAnsi" w:hAnsiTheme="minorHAnsi"/>
        </w:rPr>
        <w:t>V</w:t>
      </w:r>
      <w:r w:rsidR="007522E0" w:rsidRPr="007522E0">
        <w:rPr>
          <w:rFonts w:asciiTheme="minorHAnsi" w:hAnsiTheme="minorHAnsi"/>
        </w:rPr>
        <w:t>,</w:t>
      </w:r>
      <w:r w:rsidRPr="007522E0">
        <w:rPr>
          <w:rFonts w:asciiTheme="minorHAnsi" w:hAnsiTheme="minorHAnsi"/>
        </w:rPr>
        <w:t xml:space="preserve"> Bastida FJ. </w:t>
      </w:r>
      <w:r w:rsidRPr="00F446F7">
        <w:rPr>
          <w:rFonts w:asciiTheme="minorHAnsi" w:hAnsiTheme="minorHAnsi"/>
          <w:lang w:val="en-US"/>
        </w:rPr>
        <w:t>“An example of creative accounting in public sector: the private financi</w:t>
      </w:r>
      <w:r w:rsidR="007522E0">
        <w:rPr>
          <w:rFonts w:asciiTheme="minorHAnsi" w:hAnsiTheme="minorHAnsi"/>
          <w:lang w:val="en-US"/>
        </w:rPr>
        <w:t>ng of infrastructures in Spain”.</w:t>
      </w:r>
      <w:r w:rsidRPr="00F446F7">
        <w:rPr>
          <w:rFonts w:asciiTheme="minorHAnsi" w:hAnsiTheme="minorHAnsi"/>
          <w:lang w:val="en-US"/>
        </w:rPr>
        <w:t xml:space="preserve"> </w:t>
      </w:r>
      <w:r w:rsidRPr="00F446F7">
        <w:rPr>
          <w:rFonts w:asciiTheme="minorHAnsi" w:hAnsiTheme="minorHAnsi"/>
          <w:i/>
          <w:iCs/>
          <w:lang w:val="en-US"/>
        </w:rPr>
        <w:t>Critical Perspectives on Accounting</w:t>
      </w:r>
      <w:r w:rsidR="007522E0">
        <w:rPr>
          <w:rFonts w:asciiTheme="minorHAnsi" w:hAnsiTheme="minorHAnsi"/>
          <w:lang w:val="en-US"/>
        </w:rPr>
        <w:t xml:space="preserve"> 2008; </w:t>
      </w:r>
      <w:r w:rsidRPr="00F446F7">
        <w:rPr>
          <w:rFonts w:asciiTheme="minorHAnsi" w:hAnsiTheme="minorHAnsi"/>
          <w:lang w:val="en-US"/>
        </w:rPr>
        <w:t>19</w:t>
      </w:r>
      <w:r w:rsidR="007522E0">
        <w:rPr>
          <w:rFonts w:asciiTheme="minorHAnsi" w:hAnsiTheme="minorHAnsi"/>
          <w:lang w:val="en-US"/>
        </w:rPr>
        <w:t>(</w:t>
      </w:r>
      <w:r w:rsidRPr="00F446F7">
        <w:rPr>
          <w:rFonts w:asciiTheme="minorHAnsi" w:hAnsiTheme="minorHAnsi"/>
          <w:lang w:val="en-US"/>
        </w:rPr>
        <w:t>7</w:t>
      </w:r>
      <w:r w:rsidR="007522E0">
        <w:rPr>
          <w:rFonts w:asciiTheme="minorHAnsi" w:hAnsiTheme="minorHAnsi"/>
          <w:lang w:val="en-US"/>
        </w:rPr>
        <w:t>): 963-</w:t>
      </w:r>
      <w:r w:rsidRPr="007522E0">
        <w:rPr>
          <w:rFonts w:asciiTheme="minorHAnsi" w:hAnsiTheme="minorHAnsi"/>
          <w:lang w:val="en-US"/>
        </w:rPr>
        <w:t>86.</w:t>
      </w:r>
    </w:p>
    <w:p w:rsidR="003E33B3" w:rsidRPr="00F446F7" w:rsidRDefault="0063538B" w:rsidP="00F446F7">
      <w:pPr>
        <w:pStyle w:val="Prrafodelista"/>
        <w:numPr>
          <w:ilvl w:val="0"/>
          <w:numId w:val="16"/>
        </w:numPr>
        <w:autoSpaceDE w:val="0"/>
        <w:autoSpaceDN w:val="0"/>
        <w:adjustRightInd w:val="0"/>
        <w:spacing w:after="120"/>
        <w:jc w:val="both"/>
        <w:rPr>
          <w:rFonts w:asciiTheme="minorHAnsi" w:hAnsiTheme="minorHAnsi" w:cs="FrutigerLTStd-LightCn"/>
          <w:lang w:val="en-US"/>
        </w:rPr>
      </w:pPr>
      <w:r w:rsidRPr="00F446F7">
        <w:rPr>
          <w:rFonts w:asciiTheme="minorHAnsi" w:eastAsiaTheme="minorHAnsi" w:hAnsiTheme="minorHAnsi" w:cs="FrutigerLTStd-LightCn"/>
          <w:lang w:val="en-US"/>
        </w:rPr>
        <w:t>Bloom A. Hospital co-locations: private sector participation in the hospital</w:t>
      </w:r>
      <w:r w:rsidR="00CC5D44" w:rsidRPr="00F446F7">
        <w:rPr>
          <w:rFonts w:asciiTheme="minorHAnsi" w:eastAsiaTheme="minorHAnsi" w:hAnsiTheme="minorHAnsi" w:cs="FrutigerLTStd-LightCn"/>
          <w:lang w:val="en-US"/>
        </w:rPr>
        <w:t xml:space="preserve"> </w:t>
      </w:r>
      <w:r w:rsidRPr="00F446F7">
        <w:rPr>
          <w:rFonts w:asciiTheme="minorHAnsi" w:eastAsiaTheme="minorHAnsi" w:hAnsiTheme="minorHAnsi" w:cs="FrutigerLTStd-LightCn"/>
          <w:lang w:val="en-US"/>
        </w:rPr>
        <w:t xml:space="preserve">sector. In: Bloom </w:t>
      </w:r>
      <w:proofErr w:type="gramStart"/>
      <w:r w:rsidRPr="00F446F7">
        <w:rPr>
          <w:rFonts w:asciiTheme="minorHAnsi" w:eastAsiaTheme="minorHAnsi" w:hAnsiTheme="minorHAnsi" w:cs="FrutigerLTStd-LightCn"/>
          <w:lang w:val="en-US"/>
        </w:rPr>
        <w:t>A</w:t>
      </w:r>
      <w:proofErr w:type="gramEnd"/>
      <w:r w:rsidRPr="00F446F7">
        <w:rPr>
          <w:rFonts w:asciiTheme="minorHAnsi" w:eastAsiaTheme="minorHAnsi" w:hAnsiTheme="minorHAnsi" w:cs="FrutigerLTStd-LightCn"/>
          <w:lang w:val="en-US"/>
        </w:rPr>
        <w:t xml:space="preserve"> (editor) Health reform in Australia and New Zealand.</w:t>
      </w:r>
      <w:r w:rsidR="00CC5D44" w:rsidRPr="00F446F7">
        <w:rPr>
          <w:rFonts w:asciiTheme="minorHAnsi" w:eastAsiaTheme="minorHAnsi" w:hAnsiTheme="minorHAnsi" w:cs="FrutigerLTStd-LightCn"/>
          <w:lang w:val="en-US"/>
        </w:rPr>
        <w:t xml:space="preserve"> </w:t>
      </w:r>
      <w:r w:rsidRPr="00F446F7">
        <w:rPr>
          <w:rFonts w:asciiTheme="minorHAnsi" w:eastAsiaTheme="minorHAnsi" w:hAnsiTheme="minorHAnsi" w:cs="FrutigerLTStd-LightCn"/>
          <w:lang w:val="en-US" w:eastAsia="en-US"/>
        </w:rPr>
        <w:t>Melbourne: Oxford University Press; 2000.</w:t>
      </w:r>
      <w:r w:rsidR="003E33B3" w:rsidRPr="00F446F7">
        <w:rPr>
          <w:rFonts w:asciiTheme="minorHAnsi" w:eastAsiaTheme="minorHAnsi" w:hAnsiTheme="minorHAnsi" w:cs="FrutigerLTStd-LightCn"/>
          <w:lang w:val="en-US" w:eastAsia="en-US"/>
        </w:rPr>
        <w:t xml:space="preserve"> </w:t>
      </w:r>
    </w:p>
    <w:p w:rsidR="003E33B3" w:rsidRPr="00F446F7" w:rsidRDefault="007522E0" w:rsidP="00F446F7">
      <w:pPr>
        <w:pStyle w:val="Prrafodelista"/>
        <w:numPr>
          <w:ilvl w:val="0"/>
          <w:numId w:val="16"/>
        </w:numPr>
        <w:autoSpaceDE w:val="0"/>
        <w:autoSpaceDN w:val="0"/>
        <w:adjustRightInd w:val="0"/>
        <w:spacing w:after="120"/>
        <w:jc w:val="both"/>
        <w:rPr>
          <w:rFonts w:asciiTheme="minorHAnsi" w:hAnsiTheme="minorHAnsi"/>
          <w:i/>
          <w:iCs/>
          <w:lang w:val="en-US"/>
        </w:rPr>
      </w:pPr>
      <w:r>
        <w:rPr>
          <w:rFonts w:asciiTheme="minorHAnsi" w:hAnsiTheme="minorHAnsi"/>
          <w:lang w:val="en-US"/>
        </w:rPr>
        <w:t>Broadbent J.</w:t>
      </w:r>
      <w:r w:rsidR="003E33B3" w:rsidRPr="00F446F7">
        <w:rPr>
          <w:rFonts w:asciiTheme="minorHAnsi" w:hAnsiTheme="minorHAnsi"/>
          <w:lang w:val="en-US"/>
        </w:rPr>
        <w:t xml:space="preserve"> Gill J</w:t>
      </w:r>
      <w:r>
        <w:rPr>
          <w:rFonts w:asciiTheme="minorHAnsi" w:hAnsiTheme="minorHAnsi"/>
          <w:lang w:val="en-US"/>
        </w:rPr>
        <w:t>,</w:t>
      </w:r>
      <w:r w:rsidR="003E33B3" w:rsidRPr="00F446F7">
        <w:rPr>
          <w:rFonts w:asciiTheme="minorHAnsi" w:hAnsiTheme="minorHAnsi"/>
          <w:lang w:val="en-US"/>
        </w:rPr>
        <w:t xml:space="preserve"> Laughlin R. </w:t>
      </w:r>
      <w:r w:rsidR="003E33B3" w:rsidRPr="00F446F7">
        <w:rPr>
          <w:rFonts w:asciiTheme="minorHAnsi" w:hAnsiTheme="minorHAnsi"/>
          <w:i/>
          <w:iCs/>
          <w:lang w:val="en-US"/>
        </w:rPr>
        <w:t>The Private Finance Initiative in the National</w:t>
      </w:r>
    </w:p>
    <w:p w:rsidR="0063538B" w:rsidRPr="00F446F7" w:rsidRDefault="003E33B3" w:rsidP="00F446F7">
      <w:pPr>
        <w:pStyle w:val="Prrafodelista"/>
        <w:autoSpaceDE w:val="0"/>
        <w:autoSpaceDN w:val="0"/>
        <w:adjustRightInd w:val="0"/>
        <w:spacing w:after="120"/>
        <w:jc w:val="both"/>
        <w:rPr>
          <w:rFonts w:asciiTheme="minorHAnsi" w:eastAsiaTheme="minorHAnsi" w:hAnsiTheme="minorHAnsi" w:cs="FrutigerLTStd-LightCn"/>
          <w:lang w:val="en-US" w:eastAsia="en-US"/>
        </w:rPr>
      </w:pPr>
      <w:r w:rsidRPr="00F446F7">
        <w:rPr>
          <w:rFonts w:asciiTheme="minorHAnsi" w:hAnsiTheme="minorHAnsi"/>
          <w:i/>
          <w:iCs/>
          <w:lang w:val="en-US"/>
        </w:rPr>
        <w:t>Health Service: Nature, Emergence and the Role of Management Accounting in Decision Making and Post-Project Evaluation</w:t>
      </w:r>
      <w:r w:rsidRPr="00F446F7">
        <w:rPr>
          <w:rFonts w:asciiTheme="minorHAnsi" w:hAnsiTheme="minorHAnsi"/>
          <w:lang w:val="en-US"/>
        </w:rPr>
        <w:t>, (London: CIMA, 2003).</w:t>
      </w:r>
    </w:p>
    <w:p w:rsidR="0063538B" w:rsidRPr="00F446F7" w:rsidRDefault="0063538B" w:rsidP="00F446F7">
      <w:pPr>
        <w:pStyle w:val="Prrafodelista"/>
        <w:numPr>
          <w:ilvl w:val="0"/>
          <w:numId w:val="16"/>
        </w:numPr>
        <w:autoSpaceDE w:val="0"/>
        <w:autoSpaceDN w:val="0"/>
        <w:adjustRightInd w:val="0"/>
        <w:spacing w:after="120"/>
        <w:jc w:val="both"/>
        <w:rPr>
          <w:rFonts w:asciiTheme="minorHAnsi" w:hAnsiTheme="minorHAnsi" w:cs="FrutigerLTStd-LightCn"/>
          <w:lang w:val="en-US"/>
        </w:rPr>
      </w:pPr>
      <w:proofErr w:type="spellStart"/>
      <w:r w:rsidRPr="00F446F7">
        <w:rPr>
          <w:rFonts w:asciiTheme="minorHAnsi" w:eastAsiaTheme="minorHAnsi" w:hAnsiTheme="minorHAnsi" w:cs="FrutigerLTStd-LightCn"/>
          <w:lang w:val="en-US"/>
        </w:rPr>
        <w:t>Duckett</w:t>
      </w:r>
      <w:proofErr w:type="spellEnd"/>
      <w:r w:rsidRPr="00F446F7">
        <w:rPr>
          <w:rFonts w:asciiTheme="minorHAnsi" w:eastAsiaTheme="minorHAnsi" w:hAnsiTheme="minorHAnsi" w:cs="FrutigerLTStd-LightCn"/>
          <w:lang w:val="en-US"/>
        </w:rPr>
        <w:t xml:space="preserve"> SJ, Jackson TJ. The new health insurance rebate: an inefficient way</w:t>
      </w:r>
      <w:r w:rsidR="00CC5D44" w:rsidRPr="00F446F7">
        <w:rPr>
          <w:rFonts w:asciiTheme="minorHAnsi" w:eastAsiaTheme="minorHAnsi" w:hAnsiTheme="minorHAnsi" w:cs="FrutigerLTStd-LightCn"/>
          <w:lang w:val="en-US"/>
        </w:rPr>
        <w:t xml:space="preserve"> </w:t>
      </w:r>
      <w:r w:rsidRPr="00F446F7">
        <w:rPr>
          <w:rFonts w:asciiTheme="minorHAnsi" w:eastAsiaTheme="minorHAnsi" w:hAnsiTheme="minorHAnsi" w:cs="FrutigerLTStd-LightCn"/>
          <w:lang w:val="en-US" w:eastAsia="en-US"/>
        </w:rPr>
        <w:t xml:space="preserve">of assisting public hospitals. Med J </w:t>
      </w:r>
      <w:proofErr w:type="spellStart"/>
      <w:r w:rsidRPr="00F446F7">
        <w:rPr>
          <w:rFonts w:asciiTheme="minorHAnsi" w:eastAsiaTheme="minorHAnsi" w:hAnsiTheme="minorHAnsi" w:cs="FrutigerLTStd-LightCn"/>
          <w:lang w:val="en-US" w:eastAsia="en-US"/>
        </w:rPr>
        <w:t>Aust</w:t>
      </w:r>
      <w:proofErr w:type="spellEnd"/>
      <w:r w:rsidRPr="00F446F7">
        <w:rPr>
          <w:rFonts w:asciiTheme="minorHAnsi" w:eastAsiaTheme="minorHAnsi" w:hAnsiTheme="minorHAnsi" w:cs="FrutigerLTStd-LightCn"/>
          <w:lang w:val="en-US" w:eastAsia="en-US"/>
        </w:rPr>
        <w:t xml:space="preserve"> 2000;</w:t>
      </w:r>
      <w:r w:rsidR="007522E0">
        <w:rPr>
          <w:rFonts w:asciiTheme="minorHAnsi" w:eastAsiaTheme="minorHAnsi" w:hAnsiTheme="minorHAnsi" w:cs="FrutigerLTStd-LightCn"/>
          <w:lang w:val="en-US" w:eastAsia="en-US"/>
        </w:rPr>
        <w:t xml:space="preserve"> </w:t>
      </w:r>
      <w:r w:rsidRPr="00F446F7">
        <w:rPr>
          <w:rFonts w:asciiTheme="minorHAnsi" w:eastAsiaTheme="minorHAnsi" w:hAnsiTheme="minorHAnsi" w:cs="FrutigerLTStd-LightCn"/>
          <w:lang w:val="en-US" w:eastAsia="en-US"/>
        </w:rPr>
        <w:t>172:439-42.</w:t>
      </w:r>
    </w:p>
    <w:p w:rsidR="003E33B3" w:rsidRPr="00F446F7" w:rsidRDefault="003E33B3" w:rsidP="00F446F7">
      <w:pPr>
        <w:pStyle w:val="Prrafodelista"/>
        <w:numPr>
          <w:ilvl w:val="0"/>
          <w:numId w:val="16"/>
        </w:numPr>
        <w:autoSpaceDE w:val="0"/>
        <w:autoSpaceDN w:val="0"/>
        <w:adjustRightInd w:val="0"/>
        <w:spacing w:after="120"/>
        <w:jc w:val="both"/>
        <w:rPr>
          <w:rFonts w:asciiTheme="minorHAnsi" w:eastAsiaTheme="minorHAnsi" w:hAnsiTheme="minorHAnsi" w:cs="FrutigerLTStd-LightCn"/>
          <w:lang w:val="en-US" w:eastAsia="en-US"/>
        </w:rPr>
      </w:pPr>
      <w:r w:rsidRPr="00F446F7">
        <w:rPr>
          <w:rFonts w:asciiTheme="minorHAnsi" w:hAnsiTheme="minorHAnsi"/>
          <w:lang w:val="en-US"/>
        </w:rPr>
        <w:t xml:space="preserve">Edwards P, </w:t>
      </w:r>
      <w:proofErr w:type="spellStart"/>
      <w:r w:rsidRPr="00F446F7">
        <w:rPr>
          <w:rFonts w:asciiTheme="minorHAnsi" w:hAnsiTheme="minorHAnsi"/>
          <w:lang w:val="en-US"/>
        </w:rPr>
        <w:t>Shaoul</w:t>
      </w:r>
      <w:proofErr w:type="spellEnd"/>
      <w:r w:rsidRPr="00F446F7">
        <w:rPr>
          <w:rFonts w:asciiTheme="minorHAnsi" w:hAnsiTheme="minorHAnsi"/>
          <w:lang w:val="en-US"/>
        </w:rPr>
        <w:t xml:space="preserve"> J, </w:t>
      </w:r>
      <w:proofErr w:type="spellStart"/>
      <w:r w:rsidRPr="00F446F7">
        <w:rPr>
          <w:rFonts w:asciiTheme="minorHAnsi" w:hAnsiTheme="minorHAnsi"/>
          <w:lang w:val="en-US"/>
        </w:rPr>
        <w:t>Staffor</w:t>
      </w:r>
      <w:proofErr w:type="spellEnd"/>
      <w:r w:rsidR="007522E0">
        <w:rPr>
          <w:rFonts w:asciiTheme="minorHAnsi" w:hAnsiTheme="minorHAnsi"/>
          <w:lang w:val="en-US"/>
        </w:rPr>
        <w:t xml:space="preserve"> A, </w:t>
      </w:r>
      <w:proofErr w:type="spellStart"/>
      <w:r w:rsidRPr="00F446F7">
        <w:rPr>
          <w:rFonts w:asciiTheme="minorHAnsi" w:hAnsiTheme="minorHAnsi"/>
          <w:lang w:val="en-US"/>
        </w:rPr>
        <w:t>Arblaster</w:t>
      </w:r>
      <w:proofErr w:type="spellEnd"/>
      <w:r w:rsidRPr="00F446F7">
        <w:rPr>
          <w:rFonts w:asciiTheme="minorHAnsi" w:hAnsiTheme="minorHAnsi"/>
          <w:lang w:val="en-US"/>
        </w:rPr>
        <w:t xml:space="preserve"> L. </w:t>
      </w:r>
      <w:r w:rsidRPr="00F446F7">
        <w:rPr>
          <w:rFonts w:asciiTheme="minorHAnsi" w:hAnsiTheme="minorHAnsi"/>
          <w:i/>
          <w:iCs/>
          <w:lang w:val="en-US"/>
        </w:rPr>
        <w:t>Evaluating the Operation of PFI</w:t>
      </w:r>
      <w:r w:rsidR="004C0B8A" w:rsidRPr="00F446F7">
        <w:rPr>
          <w:rFonts w:asciiTheme="minorHAnsi" w:hAnsiTheme="minorHAnsi"/>
          <w:i/>
          <w:iCs/>
          <w:lang w:val="en-US"/>
        </w:rPr>
        <w:t xml:space="preserve"> </w:t>
      </w:r>
      <w:r w:rsidRPr="00F446F7">
        <w:rPr>
          <w:rFonts w:asciiTheme="minorHAnsi" w:hAnsiTheme="minorHAnsi"/>
          <w:i/>
          <w:iCs/>
          <w:lang w:val="en-US"/>
        </w:rPr>
        <w:t>in Road and Hospital Projects (ACCA Research Report No 84</w:t>
      </w:r>
      <w:r w:rsidRPr="00F446F7">
        <w:rPr>
          <w:rFonts w:asciiTheme="minorHAnsi" w:hAnsiTheme="minorHAnsi"/>
          <w:lang w:val="en-US"/>
        </w:rPr>
        <w:t>, (London: Association of Chartered Certified Accountants (ACCA), 2004).</w:t>
      </w:r>
      <w:r w:rsidR="007522E0">
        <w:rPr>
          <w:rFonts w:asciiTheme="minorHAnsi" w:hAnsiTheme="minorHAnsi"/>
          <w:lang w:val="en-US"/>
        </w:rPr>
        <w:t>0</w:t>
      </w:r>
    </w:p>
    <w:p w:rsidR="0063538B" w:rsidRPr="00F446F7" w:rsidRDefault="0063538B" w:rsidP="00F446F7">
      <w:pPr>
        <w:pStyle w:val="Prrafodelista"/>
        <w:numPr>
          <w:ilvl w:val="0"/>
          <w:numId w:val="16"/>
        </w:numPr>
        <w:autoSpaceDE w:val="0"/>
        <w:autoSpaceDN w:val="0"/>
        <w:adjustRightInd w:val="0"/>
        <w:spacing w:after="120"/>
        <w:jc w:val="both"/>
        <w:rPr>
          <w:rFonts w:asciiTheme="minorHAnsi" w:eastAsiaTheme="minorHAnsi" w:hAnsiTheme="minorHAnsi" w:cs="FrutigerLTStd-LightCn"/>
          <w:lang w:val="en-US" w:eastAsia="en-US"/>
        </w:rPr>
      </w:pPr>
      <w:r w:rsidRPr="00F446F7">
        <w:rPr>
          <w:rFonts w:asciiTheme="minorHAnsi" w:eastAsiaTheme="minorHAnsi" w:hAnsiTheme="minorHAnsi" w:cs="FrutigerLTStd-LightCn"/>
          <w:lang w:val="en-US"/>
        </w:rPr>
        <w:t xml:space="preserve">Gaffney D, Pollock </w:t>
      </w:r>
      <w:proofErr w:type="gramStart"/>
      <w:r w:rsidRPr="00F446F7">
        <w:rPr>
          <w:rFonts w:asciiTheme="minorHAnsi" w:eastAsiaTheme="minorHAnsi" w:hAnsiTheme="minorHAnsi" w:cs="FrutigerLTStd-LightCn"/>
          <w:lang w:val="en-US"/>
        </w:rPr>
        <w:t>AM</w:t>
      </w:r>
      <w:proofErr w:type="gramEnd"/>
      <w:r w:rsidRPr="00F446F7">
        <w:rPr>
          <w:rFonts w:asciiTheme="minorHAnsi" w:eastAsiaTheme="minorHAnsi" w:hAnsiTheme="minorHAnsi" w:cs="FrutigerLTStd-LightCn"/>
          <w:lang w:val="en-US"/>
        </w:rPr>
        <w:t xml:space="preserve">, Price D, </w:t>
      </w:r>
      <w:proofErr w:type="spellStart"/>
      <w:r w:rsidRPr="00F446F7">
        <w:rPr>
          <w:rFonts w:asciiTheme="minorHAnsi" w:eastAsiaTheme="minorHAnsi" w:hAnsiTheme="minorHAnsi" w:cs="FrutigerLTStd-LightCn"/>
          <w:lang w:val="en-US"/>
        </w:rPr>
        <w:t>Shaoul</w:t>
      </w:r>
      <w:proofErr w:type="spellEnd"/>
      <w:r w:rsidRPr="00F446F7">
        <w:rPr>
          <w:rFonts w:asciiTheme="minorHAnsi" w:eastAsiaTheme="minorHAnsi" w:hAnsiTheme="minorHAnsi" w:cs="FrutigerLTStd-LightCn"/>
          <w:lang w:val="en-US"/>
        </w:rPr>
        <w:t xml:space="preserve"> J. The private finance initiative: PFI in</w:t>
      </w:r>
      <w:r w:rsidR="00D3074A" w:rsidRPr="00F446F7">
        <w:rPr>
          <w:rFonts w:asciiTheme="minorHAnsi" w:eastAsiaTheme="minorHAnsi" w:hAnsiTheme="minorHAnsi" w:cs="FrutigerLTStd-LightCn"/>
          <w:lang w:val="en-US"/>
        </w:rPr>
        <w:t xml:space="preserve"> </w:t>
      </w:r>
      <w:r w:rsidRPr="00F446F7">
        <w:rPr>
          <w:rFonts w:asciiTheme="minorHAnsi" w:eastAsiaTheme="minorHAnsi" w:hAnsiTheme="minorHAnsi" w:cs="FrutigerLTStd-LightCn"/>
          <w:lang w:val="en-US" w:eastAsia="en-US"/>
        </w:rPr>
        <w:t>the NHS. Is there an economic case? BMJ 1999</w:t>
      </w:r>
      <w:proofErr w:type="gramStart"/>
      <w:r w:rsidRPr="00F446F7">
        <w:rPr>
          <w:rFonts w:asciiTheme="minorHAnsi" w:eastAsiaTheme="minorHAnsi" w:hAnsiTheme="minorHAnsi" w:cs="FrutigerLTStd-LightCn"/>
          <w:lang w:val="en-US" w:eastAsia="en-US"/>
        </w:rPr>
        <w:t>;319:116</w:t>
      </w:r>
      <w:proofErr w:type="gramEnd"/>
      <w:r w:rsidRPr="00F446F7">
        <w:rPr>
          <w:rFonts w:asciiTheme="minorHAnsi" w:eastAsiaTheme="minorHAnsi" w:hAnsiTheme="minorHAnsi" w:cs="FrutigerLTStd-LightCn"/>
          <w:lang w:val="en-US" w:eastAsia="en-US"/>
        </w:rPr>
        <w:t>-9.</w:t>
      </w:r>
    </w:p>
    <w:p w:rsidR="00CC5D44" w:rsidRPr="00F446F7" w:rsidRDefault="00CC5D44" w:rsidP="00F446F7">
      <w:pPr>
        <w:pStyle w:val="Prrafodelista"/>
        <w:numPr>
          <w:ilvl w:val="0"/>
          <w:numId w:val="16"/>
        </w:numPr>
        <w:autoSpaceDE w:val="0"/>
        <w:autoSpaceDN w:val="0"/>
        <w:adjustRightInd w:val="0"/>
        <w:spacing w:after="120"/>
        <w:jc w:val="both"/>
        <w:rPr>
          <w:rFonts w:asciiTheme="minorHAnsi" w:hAnsiTheme="minorHAnsi"/>
          <w:lang w:val="en-US"/>
        </w:rPr>
      </w:pPr>
      <w:r w:rsidRPr="00F446F7">
        <w:rPr>
          <w:rFonts w:asciiTheme="minorHAnsi" w:hAnsiTheme="minorHAnsi"/>
          <w:lang w:val="en-US"/>
        </w:rPr>
        <w:t xml:space="preserve">Gaffney D, Pollock AM, Price D, </w:t>
      </w:r>
      <w:proofErr w:type="spellStart"/>
      <w:r w:rsidRPr="00F446F7">
        <w:rPr>
          <w:rFonts w:asciiTheme="minorHAnsi" w:hAnsiTheme="minorHAnsi"/>
          <w:lang w:val="en-US"/>
        </w:rPr>
        <w:t>Shaoul</w:t>
      </w:r>
      <w:proofErr w:type="spellEnd"/>
      <w:r w:rsidRPr="00F446F7">
        <w:rPr>
          <w:rFonts w:asciiTheme="minorHAnsi" w:hAnsiTheme="minorHAnsi"/>
          <w:lang w:val="en-US"/>
        </w:rPr>
        <w:t xml:space="preserve"> J. NHS capital expenditure and the private finance</w:t>
      </w:r>
      <w:r w:rsidR="003E33B3" w:rsidRPr="00F446F7">
        <w:rPr>
          <w:rFonts w:asciiTheme="minorHAnsi" w:hAnsiTheme="minorHAnsi"/>
          <w:lang w:val="en-US"/>
        </w:rPr>
        <w:t xml:space="preserve"> </w:t>
      </w:r>
      <w:r w:rsidRPr="00F446F7">
        <w:rPr>
          <w:rFonts w:asciiTheme="minorHAnsi" w:hAnsiTheme="minorHAnsi"/>
          <w:lang w:val="en-US"/>
        </w:rPr>
        <w:t xml:space="preserve">initiative: expansion or contraction? </w:t>
      </w:r>
      <w:r w:rsidRPr="00F446F7">
        <w:rPr>
          <w:rFonts w:asciiTheme="minorHAnsi" w:hAnsiTheme="minorHAnsi"/>
          <w:i/>
          <w:iCs/>
          <w:lang w:val="en-US"/>
        </w:rPr>
        <w:t xml:space="preserve">BMJ </w:t>
      </w:r>
      <w:r w:rsidRPr="00F446F7">
        <w:rPr>
          <w:rFonts w:asciiTheme="minorHAnsi" w:hAnsiTheme="minorHAnsi"/>
          <w:lang w:val="en-US"/>
        </w:rPr>
        <w:t>1999</w:t>
      </w:r>
      <w:proofErr w:type="gramStart"/>
      <w:r w:rsidRPr="00F446F7">
        <w:rPr>
          <w:rFonts w:asciiTheme="minorHAnsi" w:hAnsiTheme="minorHAnsi"/>
          <w:lang w:val="en-US"/>
        </w:rPr>
        <w:t>;319:48</w:t>
      </w:r>
      <w:proofErr w:type="gramEnd"/>
      <w:r w:rsidR="007522E0">
        <w:rPr>
          <w:rFonts w:asciiTheme="minorHAnsi" w:hAnsiTheme="minorHAnsi"/>
          <w:lang w:val="en-US"/>
        </w:rPr>
        <w:t>-</w:t>
      </w:r>
      <w:r w:rsidRPr="00F446F7">
        <w:rPr>
          <w:rFonts w:asciiTheme="minorHAnsi" w:hAnsiTheme="minorHAnsi"/>
          <w:lang w:val="en-US"/>
        </w:rPr>
        <w:t>51.</w:t>
      </w:r>
    </w:p>
    <w:p w:rsidR="0063538B" w:rsidRPr="00F446F7" w:rsidRDefault="00CC5D44" w:rsidP="00F446F7">
      <w:pPr>
        <w:pStyle w:val="Prrafodelista"/>
        <w:numPr>
          <w:ilvl w:val="0"/>
          <w:numId w:val="16"/>
        </w:numPr>
        <w:autoSpaceDE w:val="0"/>
        <w:autoSpaceDN w:val="0"/>
        <w:adjustRightInd w:val="0"/>
        <w:spacing w:after="120"/>
        <w:jc w:val="both"/>
        <w:rPr>
          <w:rFonts w:asciiTheme="minorHAnsi" w:eastAsiaTheme="minorHAnsi" w:hAnsiTheme="minorHAnsi" w:cs="FrutigerLTStd-LightCn"/>
          <w:lang w:val="en-US" w:eastAsia="en-US"/>
        </w:rPr>
      </w:pPr>
      <w:proofErr w:type="spellStart"/>
      <w:r w:rsidRPr="00F446F7">
        <w:rPr>
          <w:rFonts w:asciiTheme="minorHAnsi" w:hAnsiTheme="minorHAnsi"/>
          <w:lang w:val="en-US"/>
        </w:rPr>
        <w:t>Hawksworth</w:t>
      </w:r>
      <w:proofErr w:type="spellEnd"/>
      <w:r w:rsidRPr="00F446F7">
        <w:rPr>
          <w:rFonts w:asciiTheme="minorHAnsi" w:hAnsiTheme="minorHAnsi"/>
          <w:lang w:val="en-US"/>
        </w:rPr>
        <w:t xml:space="preserve"> J. Implications of the public sector financial control framework for PPPs. In: </w:t>
      </w:r>
      <w:r w:rsidRPr="00F446F7">
        <w:rPr>
          <w:rFonts w:asciiTheme="minorHAnsi" w:hAnsiTheme="minorHAnsi"/>
          <w:i/>
          <w:iCs/>
          <w:lang w:val="en-US"/>
        </w:rPr>
        <w:t xml:space="preserve">The private finance initiative: </w:t>
      </w:r>
      <w:proofErr w:type="spellStart"/>
      <w:r w:rsidRPr="00F446F7">
        <w:rPr>
          <w:rFonts w:asciiTheme="minorHAnsi" w:hAnsiTheme="minorHAnsi"/>
          <w:i/>
          <w:iCs/>
          <w:lang w:val="en-US"/>
        </w:rPr>
        <w:t>saviour</w:t>
      </w:r>
      <w:proofErr w:type="spellEnd"/>
      <w:r w:rsidRPr="00F446F7">
        <w:rPr>
          <w:rFonts w:asciiTheme="minorHAnsi" w:hAnsiTheme="minorHAnsi"/>
          <w:i/>
          <w:iCs/>
          <w:lang w:val="en-US"/>
        </w:rPr>
        <w:t xml:space="preserve">, villain or irrelevance? </w:t>
      </w:r>
      <w:r w:rsidRPr="00F446F7">
        <w:rPr>
          <w:rFonts w:asciiTheme="minorHAnsi" w:hAnsiTheme="minorHAnsi"/>
          <w:lang w:val="en-US"/>
        </w:rPr>
        <w:t>London: Institute of Public Policy Research, 2000.</w:t>
      </w:r>
    </w:p>
    <w:p w:rsidR="004C0B8A" w:rsidRPr="00F446F7" w:rsidRDefault="00206807" w:rsidP="00F446F7">
      <w:pPr>
        <w:pStyle w:val="Textoindependiente3"/>
        <w:numPr>
          <w:ilvl w:val="0"/>
          <w:numId w:val="16"/>
        </w:numPr>
        <w:autoSpaceDE w:val="0"/>
        <w:autoSpaceDN w:val="0"/>
        <w:adjustRightInd w:val="0"/>
        <w:spacing w:after="120"/>
        <w:rPr>
          <w:rFonts w:asciiTheme="minorHAnsi" w:hAnsiTheme="minorHAnsi"/>
          <w:color w:val="000000" w:themeColor="text1"/>
          <w:sz w:val="24"/>
          <w:szCs w:val="24"/>
          <w:lang w:val="en-US"/>
        </w:rPr>
      </w:pPr>
      <w:proofErr w:type="spellStart"/>
      <w:r w:rsidRPr="00F446F7">
        <w:rPr>
          <w:rFonts w:asciiTheme="minorHAnsi" w:hAnsiTheme="minorHAnsi"/>
          <w:bCs/>
          <w:color w:val="000000" w:themeColor="text1"/>
          <w:sz w:val="24"/>
          <w:szCs w:val="24"/>
          <w:lang w:val="en-US"/>
        </w:rPr>
        <w:t>Hellowell</w:t>
      </w:r>
      <w:proofErr w:type="spellEnd"/>
      <w:r w:rsidRPr="00F446F7">
        <w:rPr>
          <w:rFonts w:asciiTheme="minorHAnsi" w:hAnsiTheme="minorHAnsi"/>
          <w:bCs/>
          <w:color w:val="000000" w:themeColor="text1"/>
          <w:sz w:val="24"/>
          <w:szCs w:val="24"/>
          <w:lang w:val="en-US"/>
        </w:rPr>
        <w:t xml:space="preserve"> </w:t>
      </w:r>
      <w:r w:rsidR="00DB5BCD" w:rsidRPr="00F446F7">
        <w:rPr>
          <w:rFonts w:asciiTheme="minorHAnsi" w:hAnsiTheme="minorHAnsi"/>
          <w:bCs/>
          <w:color w:val="000000" w:themeColor="text1"/>
          <w:sz w:val="24"/>
          <w:szCs w:val="24"/>
          <w:lang w:val="en-US"/>
        </w:rPr>
        <w:t xml:space="preserve">M, </w:t>
      </w:r>
      <w:r w:rsidRPr="00F446F7">
        <w:rPr>
          <w:rFonts w:asciiTheme="minorHAnsi" w:hAnsiTheme="minorHAnsi"/>
          <w:bCs/>
          <w:color w:val="000000" w:themeColor="text1"/>
          <w:sz w:val="24"/>
          <w:szCs w:val="24"/>
          <w:lang w:val="en-US"/>
        </w:rPr>
        <w:t>Pollock</w:t>
      </w:r>
      <w:r w:rsidR="0063538B" w:rsidRPr="00F446F7">
        <w:rPr>
          <w:rFonts w:asciiTheme="minorHAnsi" w:hAnsiTheme="minorHAnsi"/>
          <w:bCs/>
          <w:color w:val="000000" w:themeColor="text1"/>
          <w:sz w:val="24"/>
          <w:szCs w:val="24"/>
          <w:lang w:val="en-US"/>
        </w:rPr>
        <w:t xml:space="preserve"> A</w:t>
      </w:r>
      <w:r w:rsidRPr="00F446F7">
        <w:rPr>
          <w:rFonts w:asciiTheme="minorHAnsi" w:hAnsiTheme="minorHAnsi"/>
          <w:bCs/>
          <w:color w:val="000000" w:themeColor="text1"/>
          <w:sz w:val="24"/>
          <w:szCs w:val="24"/>
          <w:lang w:val="en-US"/>
        </w:rPr>
        <w:t xml:space="preserve">. The Impact of PFI on Scotland´s NHS: A Briefing. The </w:t>
      </w:r>
      <w:r w:rsidR="0063538B" w:rsidRPr="00F446F7">
        <w:rPr>
          <w:rFonts w:asciiTheme="minorHAnsi" w:hAnsiTheme="minorHAnsi"/>
          <w:bCs/>
          <w:color w:val="000000" w:themeColor="text1"/>
          <w:sz w:val="24"/>
          <w:szCs w:val="24"/>
          <w:lang w:val="en-US"/>
        </w:rPr>
        <w:t>Centre for International Public</w:t>
      </w:r>
      <w:r w:rsidR="00DB5BCD" w:rsidRPr="00F446F7">
        <w:rPr>
          <w:rFonts w:asciiTheme="minorHAnsi" w:hAnsiTheme="minorHAnsi"/>
          <w:bCs/>
          <w:color w:val="000000" w:themeColor="text1"/>
          <w:sz w:val="24"/>
          <w:szCs w:val="24"/>
          <w:lang w:val="en-US"/>
        </w:rPr>
        <w:t xml:space="preserve"> Health Policy. December 2006.</w:t>
      </w:r>
    </w:p>
    <w:p w:rsidR="004C0B8A" w:rsidRPr="00F446F7" w:rsidRDefault="00AA22D7" w:rsidP="00F446F7">
      <w:pPr>
        <w:pStyle w:val="Textoindependiente3"/>
        <w:numPr>
          <w:ilvl w:val="0"/>
          <w:numId w:val="16"/>
        </w:numPr>
        <w:autoSpaceDE w:val="0"/>
        <w:autoSpaceDN w:val="0"/>
        <w:adjustRightInd w:val="0"/>
        <w:spacing w:after="120"/>
        <w:rPr>
          <w:rFonts w:asciiTheme="minorHAnsi" w:hAnsiTheme="minorHAnsi" w:cs="FrutigerLTStd-LightCn"/>
          <w:sz w:val="24"/>
          <w:szCs w:val="24"/>
          <w:lang w:val="en-US"/>
        </w:rPr>
      </w:pPr>
      <w:proofErr w:type="spellStart"/>
      <w:r w:rsidRPr="00F446F7">
        <w:rPr>
          <w:rFonts w:asciiTheme="minorHAnsi" w:hAnsiTheme="minorHAnsi"/>
          <w:bCs/>
          <w:color w:val="000000" w:themeColor="text1"/>
          <w:sz w:val="24"/>
          <w:szCs w:val="24"/>
          <w:lang w:val="en-US"/>
        </w:rPr>
        <w:t>Hellowell</w:t>
      </w:r>
      <w:proofErr w:type="spellEnd"/>
      <w:r w:rsidRPr="00F446F7">
        <w:rPr>
          <w:rFonts w:asciiTheme="minorHAnsi" w:hAnsiTheme="minorHAnsi"/>
          <w:bCs/>
          <w:color w:val="000000" w:themeColor="text1"/>
          <w:sz w:val="24"/>
          <w:szCs w:val="24"/>
          <w:lang w:val="en-US"/>
        </w:rPr>
        <w:t xml:space="preserve"> M, Pollock A. </w:t>
      </w:r>
      <w:r w:rsidRPr="00F446F7">
        <w:rPr>
          <w:rFonts w:asciiTheme="minorHAnsi" w:hAnsiTheme="minorHAnsi" w:cs="Sylfaen"/>
          <w:sz w:val="24"/>
          <w:szCs w:val="24"/>
          <w:lang w:val="en-US"/>
        </w:rPr>
        <w:t xml:space="preserve">Private </w:t>
      </w:r>
      <w:proofErr w:type="gramStart"/>
      <w:r w:rsidRPr="00F446F7">
        <w:rPr>
          <w:rFonts w:asciiTheme="minorHAnsi" w:hAnsiTheme="minorHAnsi" w:cs="Sylfaen"/>
          <w:sz w:val="24"/>
          <w:szCs w:val="24"/>
          <w:lang w:val="en-US"/>
        </w:rPr>
        <w:t>finance</w:t>
      </w:r>
      <w:proofErr w:type="gramEnd"/>
      <w:r w:rsidRPr="00F446F7">
        <w:rPr>
          <w:rFonts w:asciiTheme="minorHAnsi" w:hAnsiTheme="minorHAnsi" w:cs="Sylfaen"/>
          <w:sz w:val="24"/>
          <w:szCs w:val="24"/>
          <w:lang w:val="en-US"/>
        </w:rPr>
        <w:t>, public deficits A report on the cost of PFI and its impact on health services in England.</w:t>
      </w:r>
      <w:r w:rsidR="007522E0">
        <w:rPr>
          <w:rFonts w:asciiTheme="minorHAnsi" w:hAnsiTheme="minorHAnsi" w:cs="Sylfaen"/>
          <w:sz w:val="24"/>
          <w:szCs w:val="24"/>
          <w:lang w:val="en-US"/>
        </w:rPr>
        <w:t xml:space="preserve"> The </w:t>
      </w:r>
      <w:r w:rsidRPr="00F446F7">
        <w:rPr>
          <w:rFonts w:asciiTheme="minorHAnsi" w:hAnsiTheme="minorHAnsi" w:cs="Sylfaen"/>
          <w:sz w:val="24"/>
          <w:szCs w:val="24"/>
          <w:lang w:val="en-US"/>
        </w:rPr>
        <w:t xml:space="preserve">Centre </w:t>
      </w:r>
      <w:proofErr w:type="gramStart"/>
      <w:r w:rsidRPr="00F446F7">
        <w:rPr>
          <w:rFonts w:asciiTheme="minorHAnsi" w:hAnsiTheme="minorHAnsi" w:cs="Sylfaen"/>
          <w:sz w:val="24"/>
          <w:szCs w:val="24"/>
          <w:lang w:val="en-US"/>
        </w:rPr>
        <w:t xml:space="preserve">for </w:t>
      </w:r>
      <w:r w:rsidR="00D3074A" w:rsidRPr="00F446F7">
        <w:rPr>
          <w:rFonts w:asciiTheme="minorHAnsi" w:hAnsiTheme="minorHAnsi" w:cs="Sylfaen"/>
          <w:sz w:val="24"/>
          <w:szCs w:val="24"/>
          <w:lang w:val="en-US"/>
        </w:rPr>
        <w:t xml:space="preserve"> </w:t>
      </w:r>
      <w:r w:rsidRPr="00F446F7">
        <w:rPr>
          <w:rFonts w:asciiTheme="minorHAnsi" w:hAnsiTheme="minorHAnsi" w:cs="Sylfaen"/>
          <w:sz w:val="24"/>
          <w:szCs w:val="24"/>
          <w:lang w:val="en-US"/>
        </w:rPr>
        <w:t>International</w:t>
      </w:r>
      <w:proofErr w:type="gramEnd"/>
      <w:r w:rsidRPr="00F446F7">
        <w:rPr>
          <w:rFonts w:asciiTheme="minorHAnsi" w:hAnsiTheme="minorHAnsi" w:cs="Sylfaen"/>
          <w:sz w:val="24"/>
          <w:szCs w:val="24"/>
          <w:lang w:val="en-US"/>
        </w:rPr>
        <w:t xml:space="preserve"> Public Health Policy, University of Edinburgh. 2006.</w:t>
      </w:r>
    </w:p>
    <w:p w:rsidR="00AA22D7" w:rsidRPr="00F446F7" w:rsidRDefault="00DB5BCD" w:rsidP="00F446F7">
      <w:pPr>
        <w:pStyle w:val="Textoindependiente3"/>
        <w:numPr>
          <w:ilvl w:val="0"/>
          <w:numId w:val="16"/>
        </w:numPr>
        <w:autoSpaceDE w:val="0"/>
        <w:autoSpaceDN w:val="0"/>
        <w:adjustRightInd w:val="0"/>
        <w:spacing w:after="120"/>
        <w:rPr>
          <w:rFonts w:asciiTheme="minorHAnsi" w:hAnsiTheme="minorHAnsi" w:cs="FrutigerLTStd-LightCn"/>
          <w:sz w:val="24"/>
          <w:szCs w:val="24"/>
          <w:lang w:val="en-US"/>
        </w:rPr>
      </w:pPr>
      <w:r w:rsidRPr="00F446F7">
        <w:rPr>
          <w:rFonts w:asciiTheme="minorHAnsi" w:eastAsiaTheme="minorHAnsi" w:hAnsiTheme="minorHAnsi" w:cs="FrutigerLTStd-LightCn"/>
          <w:sz w:val="24"/>
          <w:szCs w:val="24"/>
          <w:lang w:val="en-US"/>
        </w:rPr>
        <w:t>Lethbridge J. Public health section relations and deregulation in Europe.</w:t>
      </w:r>
      <w:r w:rsidR="00D3074A" w:rsidRPr="00F446F7">
        <w:rPr>
          <w:rFonts w:asciiTheme="minorHAnsi" w:eastAsiaTheme="minorHAnsi" w:hAnsiTheme="minorHAnsi" w:cs="FrutigerLTStd-LightCn"/>
          <w:sz w:val="24"/>
          <w:szCs w:val="24"/>
          <w:lang w:val="en-US"/>
        </w:rPr>
        <w:t xml:space="preserve"> </w:t>
      </w:r>
      <w:r w:rsidRPr="00F446F7">
        <w:rPr>
          <w:rFonts w:asciiTheme="minorHAnsi" w:eastAsiaTheme="minorHAnsi" w:hAnsiTheme="minorHAnsi" w:cs="FrutigerLTStd-LightCn"/>
          <w:sz w:val="24"/>
          <w:szCs w:val="24"/>
          <w:lang w:val="en-US" w:eastAsia="en-US"/>
        </w:rPr>
        <w:t xml:space="preserve">London: Public Services International Research Unit; 2003. </w:t>
      </w:r>
    </w:p>
    <w:p w:rsidR="003E33B3" w:rsidRPr="00F446F7" w:rsidRDefault="007522E0" w:rsidP="00F446F7">
      <w:pPr>
        <w:pStyle w:val="Prrafodelista"/>
        <w:numPr>
          <w:ilvl w:val="0"/>
          <w:numId w:val="16"/>
        </w:numPr>
        <w:autoSpaceDE w:val="0"/>
        <w:autoSpaceDN w:val="0"/>
        <w:adjustRightInd w:val="0"/>
        <w:spacing w:after="120"/>
        <w:jc w:val="both"/>
        <w:rPr>
          <w:rFonts w:asciiTheme="minorHAnsi" w:hAnsiTheme="minorHAnsi"/>
          <w:lang w:val="en-US"/>
        </w:rPr>
      </w:pPr>
      <w:r>
        <w:rPr>
          <w:rFonts w:asciiTheme="minorHAnsi" w:hAnsiTheme="minorHAnsi"/>
          <w:lang w:val="en-US"/>
        </w:rPr>
        <w:t xml:space="preserve">Lonsdale </w:t>
      </w:r>
      <w:r w:rsidR="003E33B3" w:rsidRPr="00F446F7">
        <w:rPr>
          <w:rFonts w:asciiTheme="minorHAnsi" w:hAnsiTheme="minorHAnsi"/>
          <w:lang w:val="en-US"/>
        </w:rPr>
        <w:t>C. “Post–contractual lock in and the UK Private Finance Initiative: The Cases of National Savings and Investments and th</w:t>
      </w:r>
      <w:r>
        <w:rPr>
          <w:rFonts w:asciiTheme="minorHAnsi" w:hAnsiTheme="minorHAnsi"/>
          <w:lang w:val="en-US"/>
        </w:rPr>
        <w:t>e Lord Chancellor’s Department”.</w:t>
      </w:r>
      <w:r w:rsidR="003E33B3" w:rsidRPr="00F446F7">
        <w:rPr>
          <w:rFonts w:asciiTheme="minorHAnsi" w:hAnsiTheme="minorHAnsi"/>
          <w:lang w:val="en-US"/>
        </w:rPr>
        <w:t xml:space="preserve"> </w:t>
      </w:r>
      <w:r w:rsidR="003E33B3" w:rsidRPr="00F446F7">
        <w:rPr>
          <w:rFonts w:asciiTheme="minorHAnsi" w:hAnsiTheme="minorHAnsi"/>
          <w:i/>
          <w:iCs/>
          <w:lang w:val="en-US"/>
        </w:rPr>
        <w:t>Public Administration</w:t>
      </w:r>
      <w:r>
        <w:rPr>
          <w:rFonts w:asciiTheme="minorHAnsi" w:hAnsiTheme="minorHAnsi"/>
          <w:i/>
          <w:iCs/>
          <w:lang w:val="en-US"/>
        </w:rPr>
        <w:t xml:space="preserve"> 2005</w:t>
      </w:r>
      <w:proofErr w:type="gramStart"/>
      <w:r>
        <w:rPr>
          <w:rFonts w:asciiTheme="minorHAnsi" w:hAnsiTheme="minorHAnsi"/>
          <w:i/>
          <w:iCs/>
          <w:lang w:val="en-US"/>
        </w:rPr>
        <w:t xml:space="preserve">; </w:t>
      </w:r>
      <w:r w:rsidR="003E33B3" w:rsidRPr="00F446F7">
        <w:rPr>
          <w:rFonts w:asciiTheme="minorHAnsi" w:hAnsiTheme="minorHAnsi"/>
          <w:lang w:val="en-US"/>
        </w:rPr>
        <w:t xml:space="preserve"> 83</w:t>
      </w:r>
      <w:proofErr w:type="gramEnd"/>
      <w:r>
        <w:rPr>
          <w:rFonts w:asciiTheme="minorHAnsi" w:hAnsiTheme="minorHAnsi"/>
          <w:lang w:val="en-US"/>
        </w:rPr>
        <w:t xml:space="preserve"> (</w:t>
      </w:r>
      <w:r w:rsidR="003E33B3" w:rsidRPr="00F446F7">
        <w:rPr>
          <w:rFonts w:asciiTheme="minorHAnsi" w:hAnsiTheme="minorHAnsi"/>
          <w:lang w:val="en-US"/>
        </w:rPr>
        <w:t>1</w:t>
      </w:r>
      <w:r>
        <w:rPr>
          <w:rFonts w:asciiTheme="minorHAnsi" w:hAnsiTheme="minorHAnsi"/>
          <w:lang w:val="en-US"/>
        </w:rPr>
        <w:t>):</w:t>
      </w:r>
      <w:r w:rsidR="003E33B3" w:rsidRPr="00F446F7">
        <w:rPr>
          <w:rFonts w:asciiTheme="minorHAnsi" w:hAnsiTheme="minorHAnsi"/>
          <w:lang w:val="en-US"/>
        </w:rPr>
        <w:t xml:space="preserve"> 67-88.</w:t>
      </w:r>
    </w:p>
    <w:p w:rsidR="003E33B3" w:rsidRPr="00F446F7" w:rsidRDefault="007522E0" w:rsidP="00F446F7">
      <w:pPr>
        <w:pStyle w:val="Prrafodelista"/>
        <w:numPr>
          <w:ilvl w:val="0"/>
          <w:numId w:val="16"/>
        </w:numPr>
        <w:autoSpaceDE w:val="0"/>
        <w:autoSpaceDN w:val="0"/>
        <w:adjustRightInd w:val="0"/>
        <w:spacing w:after="120"/>
        <w:jc w:val="both"/>
        <w:rPr>
          <w:rFonts w:asciiTheme="minorHAnsi" w:hAnsiTheme="minorHAnsi"/>
          <w:lang w:val="en-US"/>
        </w:rPr>
      </w:pPr>
      <w:r>
        <w:rPr>
          <w:rFonts w:asciiTheme="minorHAnsi" w:hAnsiTheme="minorHAnsi"/>
          <w:lang w:val="en-US"/>
        </w:rPr>
        <w:t xml:space="preserve">Lonsdale C, </w:t>
      </w:r>
      <w:r w:rsidR="003E33B3" w:rsidRPr="00F446F7">
        <w:rPr>
          <w:rFonts w:asciiTheme="minorHAnsi" w:hAnsiTheme="minorHAnsi"/>
          <w:lang w:val="en-US"/>
        </w:rPr>
        <w:t xml:space="preserve">Watson, </w:t>
      </w:r>
      <w:proofErr w:type="gramStart"/>
      <w:r w:rsidR="003E33B3" w:rsidRPr="00F446F7">
        <w:rPr>
          <w:rFonts w:asciiTheme="minorHAnsi" w:hAnsiTheme="minorHAnsi"/>
          <w:lang w:val="en-US"/>
        </w:rPr>
        <w:t>G</w:t>
      </w:r>
      <w:proofErr w:type="gramEnd"/>
      <w:r w:rsidR="003E33B3" w:rsidRPr="00F446F7">
        <w:rPr>
          <w:rFonts w:asciiTheme="minorHAnsi" w:hAnsiTheme="minorHAnsi"/>
          <w:lang w:val="en-US"/>
        </w:rPr>
        <w:t>. “Managing contracts under the UK’s private finance initiative: evidence from the National Health Service”</w:t>
      </w:r>
      <w:r>
        <w:rPr>
          <w:rFonts w:asciiTheme="minorHAnsi" w:hAnsiTheme="minorHAnsi"/>
          <w:lang w:val="en-US"/>
        </w:rPr>
        <w:t>.</w:t>
      </w:r>
      <w:r w:rsidR="003E33B3" w:rsidRPr="00F446F7">
        <w:rPr>
          <w:rFonts w:asciiTheme="minorHAnsi" w:hAnsiTheme="minorHAnsi"/>
          <w:lang w:val="en-US"/>
        </w:rPr>
        <w:t xml:space="preserve"> </w:t>
      </w:r>
      <w:r w:rsidR="003E33B3" w:rsidRPr="00F446F7">
        <w:rPr>
          <w:rFonts w:asciiTheme="minorHAnsi" w:hAnsiTheme="minorHAnsi"/>
          <w:i/>
          <w:iCs/>
          <w:lang w:val="en-US"/>
        </w:rPr>
        <w:t>Policy and Politics</w:t>
      </w:r>
      <w:r>
        <w:rPr>
          <w:rFonts w:asciiTheme="minorHAnsi" w:hAnsiTheme="minorHAnsi"/>
          <w:i/>
          <w:iCs/>
          <w:lang w:val="en-US"/>
        </w:rPr>
        <w:t xml:space="preserve"> 2007</w:t>
      </w:r>
      <w:proofErr w:type="gramStart"/>
      <w:r>
        <w:rPr>
          <w:rFonts w:asciiTheme="minorHAnsi" w:hAnsiTheme="minorHAnsi"/>
          <w:i/>
          <w:iCs/>
          <w:lang w:val="en-US"/>
        </w:rPr>
        <w:t>:;</w:t>
      </w:r>
      <w:proofErr w:type="gramEnd"/>
      <w:r>
        <w:rPr>
          <w:rFonts w:asciiTheme="minorHAnsi" w:hAnsiTheme="minorHAnsi"/>
          <w:i/>
          <w:iCs/>
          <w:lang w:val="en-US"/>
        </w:rPr>
        <w:t xml:space="preserve"> </w:t>
      </w:r>
      <w:r w:rsidR="003E33B3" w:rsidRPr="00F446F7">
        <w:rPr>
          <w:rFonts w:asciiTheme="minorHAnsi" w:hAnsiTheme="minorHAnsi"/>
          <w:lang w:val="en-US"/>
        </w:rPr>
        <w:t>35</w:t>
      </w:r>
      <w:r>
        <w:rPr>
          <w:rFonts w:asciiTheme="minorHAnsi" w:hAnsiTheme="minorHAnsi"/>
          <w:lang w:val="en-US"/>
        </w:rPr>
        <w:t>(</w:t>
      </w:r>
      <w:r w:rsidR="003E33B3" w:rsidRPr="00F446F7">
        <w:rPr>
          <w:rFonts w:asciiTheme="minorHAnsi" w:hAnsiTheme="minorHAnsi"/>
          <w:lang w:val="en-US"/>
        </w:rPr>
        <w:t>4</w:t>
      </w:r>
      <w:r>
        <w:rPr>
          <w:rFonts w:asciiTheme="minorHAnsi" w:hAnsiTheme="minorHAnsi"/>
          <w:lang w:val="en-US"/>
        </w:rPr>
        <w:t>):</w:t>
      </w:r>
      <w:r w:rsidR="003E33B3" w:rsidRPr="00F446F7">
        <w:rPr>
          <w:rFonts w:asciiTheme="minorHAnsi" w:hAnsiTheme="minorHAnsi"/>
          <w:lang w:val="en-US"/>
        </w:rPr>
        <w:t>683-700.</w:t>
      </w:r>
    </w:p>
    <w:p w:rsidR="003E33B3" w:rsidRPr="00F446F7" w:rsidRDefault="003E33B3" w:rsidP="00F446F7">
      <w:pPr>
        <w:pStyle w:val="Prrafodelista"/>
        <w:numPr>
          <w:ilvl w:val="0"/>
          <w:numId w:val="16"/>
        </w:numPr>
        <w:autoSpaceDE w:val="0"/>
        <w:autoSpaceDN w:val="0"/>
        <w:adjustRightInd w:val="0"/>
        <w:spacing w:after="120"/>
        <w:jc w:val="both"/>
        <w:rPr>
          <w:rFonts w:asciiTheme="minorHAnsi" w:hAnsiTheme="minorHAnsi" w:cs="FrutigerLTStd-LightCn"/>
          <w:lang w:val="en-US"/>
        </w:rPr>
      </w:pPr>
      <w:r w:rsidRPr="00F446F7">
        <w:rPr>
          <w:rFonts w:asciiTheme="minorHAnsi" w:hAnsiTheme="minorHAnsi"/>
          <w:lang w:val="en-US"/>
        </w:rPr>
        <w:lastRenderedPageBreak/>
        <w:t>McKee</w:t>
      </w:r>
      <w:r w:rsidR="007522E0">
        <w:rPr>
          <w:rFonts w:asciiTheme="minorHAnsi" w:hAnsiTheme="minorHAnsi"/>
          <w:lang w:val="en-US"/>
        </w:rPr>
        <w:t xml:space="preserve"> </w:t>
      </w:r>
      <w:r w:rsidRPr="00F446F7">
        <w:rPr>
          <w:rFonts w:asciiTheme="minorHAnsi" w:hAnsiTheme="minorHAnsi"/>
          <w:lang w:val="en-US"/>
        </w:rPr>
        <w:t>M, Edwards N</w:t>
      </w:r>
      <w:r w:rsidR="007522E0">
        <w:rPr>
          <w:rFonts w:asciiTheme="minorHAnsi" w:hAnsiTheme="minorHAnsi"/>
          <w:lang w:val="en-US"/>
        </w:rPr>
        <w:t xml:space="preserve">, </w:t>
      </w:r>
      <w:proofErr w:type="spellStart"/>
      <w:r w:rsidRPr="00F446F7">
        <w:rPr>
          <w:rFonts w:asciiTheme="minorHAnsi" w:hAnsiTheme="minorHAnsi"/>
          <w:lang w:val="en-US"/>
        </w:rPr>
        <w:t>Atun</w:t>
      </w:r>
      <w:proofErr w:type="spellEnd"/>
      <w:r w:rsidRPr="00F446F7">
        <w:rPr>
          <w:rFonts w:asciiTheme="minorHAnsi" w:hAnsiTheme="minorHAnsi"/>
          <w:lang w:val="en-US"/>
        </w:rPr>
        <w:t xml:space="preserve"> R</w:t>
      </w:r>
      <w:r w:rsidR="007522E0">
        <w:rPr>
          <w:rFonts w:asciiTheme="minorHAnsi" w:hAnsiTheme="minorHAnsi"/>
          <w:lang w:val="en-US"/>
        </w:rPr>
        <w:t>A</w:t>
      </w:r>
      <w:r w:rsidRPr="00F446F7">
        <w:rPr>
          <w:rFonts w:asciiTheme="minorHAnsi" w:hAnsiTheme="minorHAnsi"/>
          <w:lang w:val="en-US"/>
        </w:rPr>
        <w:t>. “Public Private Partnerships for Hospitals”</w:t>
      </w:r>
      <w:r w:rsidR="007522E0">
        <w:rPr>
          <w:rFonts w:asciiTheme="minorHAnsi" w:hAnsiTheme="minorHAnsi"/>
          <w:lang w:val="en-US"/>
        </w:rPr>
        <w:t>.</w:t>
      </w:r>
      <w:r w:rsidR="004C0B8A" w:rsidRPr="00F446F7">
        <w:rPr>
          <w:rFonts w:asciiTheme="minorHAnsi" w:hAnsiTheme="minorHAnsi"/>
          <w:lang w:val="en-US"/>
        </w:rPr>
        <w:t xml:space="preserve"> </w:t>
      </w:r>
      <w:r w:rsidRPr="00F446F7">
        <w:rPr>
          <w:rFonts w:asciiTheme="minorHAnsi" w:hAnsiTheme="minorHAnsi"/>
          <w:i/>
          <w:iCs/>
          <w:lang w:val="en-US"/>
        </w:rPr>
        <w:t xml:space="preserve">Bulletin of the World Health </w:t>
      </w:r>
      <w:proofErr w:type="spellStart"/>
      <w:r w:rsidRPr="00F446F7">
        <w:rPr>
          <w:rFonts w:asciiTheme="minorHAnsi" w:hAnsiTheme="minorHAnsi"/>
          <w:i/>
          <w:iCs/>
          <w:lang w:val="en-US"/>
        </w:rPr>
        <w:t>Organisation</w:t>
      </w:r>
      <w:proofErr w:type="spellEnd"/>
      <w:r w:rsidR="007522E0">
        <w:rPr>
          <w:rFonts w:asciiTheme="minorHAnsi" w:hAnsiTheme="minorHAnsi"/>
          <w:lang w:val="en-US"/>
        </w:rPr>
        <w:t xml:space="preserve"> </w:t>
      </w:r>
      <w:r w:rsidRPr="00F446F7">
        <w:rPr>
          <w:rFonts w:asciiTheme="minorHAnsi" w:hAnsiTheme="minorHAnsi"/>
          <w:lang w:val="en-US"/>
        </w:rPr>
        <w:t>2006</w:t>
      </w:r>
      <w:r w:rsidR="007522E0">
        <w:rPr>
          <w:rFonts w:asciiTheme="minorHAnsi" w:hAnsiTheme="minorHAnsi"/>
          <w:lang w:val="en-US"/>
        </w:rPr>
        <w:t>; 84(11) 890-</w:t>
      </w:r>
      <w:r w:rsidRPr="00F446F7">
        <w:rPr>
          <w:rFonts w:asciiTheme="minorHAnsi" w:hAnsiTheme="minorHAnsi"/>
          <w:lang w:val="en-US"/>
        </w:rPr>
        <w:t>96.</w:t>
      </w:r>
    </w:p>
    <w:p w:rsidR="00E67C56" w:rsidRPr="00F446F7" w:rsidRDefault="007522E0" w:rsidP="00F446F7">
      <w:pPr>
        <w:pStyle w:val="Textonotaalfinal"/>
        <w:numPr>
          <w:ilvl w:val="0"/>
          <w:numId w:val="16"/>
        </w:numPr>
        <w:autoSpaceDE w:val="0"/>
        <w:autoSpaceDN w:val="0"/>
        <w:adjustRightInd w:val="0"/>
        <w:spacing w:after="120"/>
        <w:jc w:val="both"/>
        <w:rPr>
          <w:rFonts w:asciiTheme="minorHAnsi" w:hAnsiTheme="minorHAnsi" w:cs="Times New Roman"/>
          <w:sz w:val="24"/>
          <w:szCs w:val="24"/>
        </w:rPr>
      </w:pPr>
      <w:proofErr w:type="spellStart"/>
      <w:r>
        <w:rPr>
          <w:rFonts w:asciiTheme="minorHAnsi" w:hAnsiTheme="minorHAnsi"/>
          <w:sz w:val="24"/>
          <w:szCs w:val="24"/>
        </w:rPr>
        <w:t>Mckee</w:t>
      </w:r>
      <w:proofErr w:type="spellEnd"/>
      <w:r>
        <w:rPr>
          <w:rFonts w:asciiTheme="minorHAnsi" w:hAnsiTheme="minorHAnsi"/>
          <w:sz w:val="24"/>
          <w:szCs w:val="24"/>
        </w:rPr>
        <w:t xml:space="preserve"> M, </w:t>
      </w:r>
      <w:r w:rsidR="00AA22D7" w:rsidRPr="00F446F7">
        <w:rPr>
          <w:rFonts w:asciiTheme="minorHAnsi" w:hAnsiTheme="minorHAnsi"/>
          <w:sz w:val="24"/>
          <w:szCs w:val="24"/>
        </w:rPr>
        <w:t xml:space="preserve"> </w:t>
      </w:r>
      <w:proofErr w:type="spellStart"/>
      <w:r w:rsidR="00AA22D7" w:rsidRPr="00F446F7">
        <w:rPr>
          <w:rFonts w:asciiTheme="minorHAnsi" w:hAnsiTheme="minorHAnsi"/>
          <w:sz w:val="24"/>
          <w:szCs w:val="24"/>
        </w:rPr>
        <w:t>Nigel</w:t>
      </w:r>
      <w:proofErr w:type="spellEnd"/>
      <w:r>
        <w:rPr>
          <w:rFonts w:asciiTheme="minorHAnsi" w:hAnsiTheme="minorHAnsi"/>
          <w:sz w:val="24"/>
          <w:szCs w:val="24"/>
        </w:rPr>
        <w:t xml:space="preserve"> E,</w:t>
      </w:r>
      <w:r w:rsidR="00AA22D7" w:rsidRPr="00F446F7">
        <w:rPr>
          <w:rFonts w:asciiTheme="minorHAnsi" w:hAnsiTheme="minorHAnsi"/>
          <w:sz w:val="24"/>
          <w:szCs w:val="24"/>
        </w:rPr>
        <w:t xml:space="preserve"> </w:t>
      </w:r>
      <w:proofErr w:type="spellStart"/>
      <w:r w:rsidR="00AA22D7" w:rsidRPr="00F446F7">
        <w:rPr>
          <w:rFonts w:asciiTheme="minorHAnsi" w:hAnsiTheme="minorHAnsi"/>
          <w:sz w:val="24"/>
          <w:szCs w:val="24"/>
        </w:rPr>
        <w:t>Atun</w:t>
      </w:r>
      <w:proofErr w:type="spellEnd"/>
      <w:r>
        <w:rPr>
          <w:rFonts w:asciiTheme="minorHAnsi" w:hAnsiTheme="minorHAnsi"/>
          <w:sz w:val="24"/>
          <w:szCs w:val="24"/>
        </w:rPr>
        <w:t xml:space="preserve"> RA.</w:t>
      </w:r>
      <w:r w:rsidR="00AA22D7" w:rsidRPr="00F446F7">
        <w:rPr>
          <w:rFonts w:asciiTheme="minorHAnsi" w:hAnsiTheme="minorHAnsi"/>
          <w:sz w:val="24"/>
          <w:szCs w:val="24"/>
        </w:rPr>
        <w:t xml:space="preserve"> </w:t>
      </w:r>
      <w:proofErr w:type="spellStart"/>
      <w:r w:rsidR="00AA22D7" w:rsidRPr="00F446F7">
        <w:rPr>
          <w:rFonts w:asciiTheme="minorHAnsi" w:hAnsiTheme="minorHAnsi"/>
          <w:sz w:val="24"/>
          <w:szCs w:val="24"/>
        </w:rPr>
        <w:t>Boletin</w:t>
      </w:r>
      <w:proofErr w:type="spellEnd"/>
      <w:r w:rsidR="00AA22D7" w:rsidRPr="00F446F7">
        <w:rPr>
          <w:rFonts w:asciiTheme="minorHAnsi" w:hAnsiTheme="minorHAnsi"/>
          <w:sz w:val="24"/>
          <w:szCs w:val="24"/>
        </w:rPr>
        <w:t xml:space="preserve"> de la OMS de noviembre de 2006. </w:t>
      </w:r>
      <w:r w:rsidR="00E67C56" w:rsidRPr="00F446F7">
        <w:rPr>
          <w:rFonts w:asciiTheme="minorHAnsi" w:hAnsiTheme="minorHAnsi"/>
          <w:sz w:val="24"/>
          <w:szCs w:val="24"/>
        </w:rPr>
        <w:t xml:space="preserve"> </w:t>
      </w:r>
      <w:r w:rsidR="00AA22D7" w:rsidRPr="00F446F7">
        <w:rPr>
          <w:rFonts w:asciiTheme="minorHAnsi" w:hAnsiTheme="minorHAnsi"/>
          <w:sz w:val="24"/>
          <w:szCs w:val="24"/>
        </w:rPr>
        <w:t>Disponible en:</w:t>
      </w:r>
    </w:p>
    <w:p w:rsidR="003E33B3" w:rsidRPr="00F446F7" w:rsidRDefault="00AA22D7" w:rsidP="00F446F7">
      <w:pPr>
        <w:pStyle w:val="Textonotaalfinal"/>
        <w:autoSpaceDE w:val="0"/>
        <w:autoSpaceDN w:val="0"/>
        <w:adjustRightInd w:val="0"/>
        <w:spacing w:after="120"/>
        <w:ind w:left="720"/>
        <w:jc w:val="both"/>
        <w:rPr>
          <w:rStyle w:val="Hipervnculo"/>
          <w:rFonts w:asciiTheme="minorHAnsi" w:hAnsiTheme="minorHAnsi" w:cs="Times New Roman"/>
          <w:color w:val="000000"/>
          <w:sz w:val="24"/>
          <w:szCs w:val="24"/>
          <w:u w:val="none"/>
        </w:rPr>
      </w:pPr>
      <w:r w:rsidRPr="00F446F7">
        <w:rPr>
          <w:rFonts w:asciiTheme="minorHAnsi" w:hAnsiTheme="minorHAnsi"/>
          <w:sz w:val="24"/>
          <w:szCs w:val="24"/>
        </w:rPr>
        <w:t xml:space="preserve">http:// </w:t>
      </w:r>
      <w:hyperlink r:id="rId11" w:history="1">
        <w:r w:rsidRPr="00F446F7">
          <w:rPr>
            <w:rStyle w:val="Hipervnculo"/>
            <w:rFonts w:asciiTheme="minorHAnsi" w:eastAsia="Batang" w:hAnsiTheme="minorHAnsi"/>
            <w:sz w:val="24"/>
            <w:szCs w:val="24"/>
          </w:rPr>
          <w:t>www.who.int/bulletin/volumes/84/11/06-030015ab/es/index.html</w:t>
        </w:r>
      </w:hyperlink>
      <w:r w:rsidR="00E67C56" w:rsidRPr="00F446F7">
        <w:rPr>
          <w:rStyle w:val="Hipervnculo"/>
          <w:rFonts w:asciiTheme="minorHAnsi" w:eastAsia="Batang" w:hAnsiTheme="minorHAnsi"/>
          <w:sz w:val="24"/>
          <w:szCs w:val="24"/>
        </w:rPr>
        <w:t xml:space="preserve"> </w:t>
      </w:r>
    </w:p>
    <w:p w:rsidR="003E33B3" w:rsidRPr="00F446F7" w:rsidRDefault="00E67C56" w:rsidP="00F446F7">
      <w:pPr>
        <w:pStyle w:val="Textonotaalfinal"/>
        <w:numPr>
          <w:ilvl w:val="0"/>
          <w:numId w:val="16"/>
        </w:numPr>
        <w:autoSpaceDE w:val="0"/>
        <w:autoSpaceDN w:val="0"/>
        <w:adjustRightInd w:val="0"/>
        <w:spacing w:after="120"/>
        <w:jc w:val="both"/>
        <w:rPr>
          <w:rFonts w:asciiTheme="minorHAnsi" w:hAnsiTheme="minorHAnsi" w:cs="Times New Roman"/>
          <w:sz w:val="24"/>
          <w:szCs w:val="24"/>
          <w:lang w:val="en-US"/>
        </w:rPr>
      </w:pPr>
      <w:r w:rsidRPr="00F446F7">
        <w:rPr>
          <w:rFonts w:asciiTheme="minorHAnsi" w:hAnsiTheme="minorHAnsi" w:cs="Times New Roman"/>
          <w:sz w:val="24"/>
          <w:szCs w:val="24"/>
          <w:lang w:val="en-US"/>
        </w:rPr>
        <w:t xml:space="preserve">Pollock AM, Price D, </w:t>
      </w:r>
      <w:proofErr w:type="spellStart"/>
      <w:r w:rsidRPr="00F446F7">
        <w:rPr>
          <w:rFonts w:asciiTheme="minorHAnsi" w:hAnsiTheme="minorHAnsi" w:cs="Times New Roman"/>
          <w:sz w:val="24"/>
          <w:szCs w:val="24"/>
          <w:lang w:val="en-US"/>
        </w:rPr>
        <w:t>Dunnigan</w:t>
      </w:r>
      <w:proofErr w:type="spellEnd"/>
      <w:r w:rsidRPr="00F446F7">
        <w:rPr>
          <w:rFonts w:asciiTheme="minorHAnsi" w:hAnsiTheme="minorHAnsi" w:cs="Times New Roman"/>
          <w:sz w:val="24"/>
          <w:szCs w:val="24"/>
          <w:lang w:val="en-US"/>
        </w:rPr>
        <w:t xml:space="preserve"> M, ‘Deficits before patients: a report on the Worcester </w:t>
      </w:r>
      <w:proofErr w:type="spellStart"/>
      <w:r w:rsidRPr="00F446F7">
        <w:rPr>
          <w:rFonts w:asciiTheme="minorHAnsi" w:hAnsiTheme="minorHAnsi" w:cs="Times New Roman"/>
          <w:sz w:val="24"/>
          <w:szCs w:val="24"/>
          <w:lang w:val="en-US"/>
        </w:rPr>
        <w:t>RoyalInfirmary</w:t>
      </w:r>
      <w:proofErr w:type="spellEnd"/>
      <w:r w:rsidRPr="00F446F7">
        <w:rPr>
          <w:rFonts w:asciiTheme="minorHAnsi" w:hAnsiTheme="minorHAnsi" w:cs="Times New Roman"/>
          <w:sz w:val="24"/>
          <w:szCs w:val="24"/>
          <w:lang w:val="en-US"/>
        </w:rPr>
        <w:t xml:space="preserve"> PFI and Worcestershire Hospital reconfiguration’, June 2000, University College London,</w:t>
      </w:r>
      <w:r w:rsidR="004C0B8A" w:rsidRPr="00F446F7">
        <w:rPr>
          <w:rFonts w:asciiTheme="minorHAnsi" w:hAnsiTheme="minorHAnsi" w:cs="Times New Roman"/>
          <w:sz w:val="24"/>
          <w:szCs w:val="24"/>
          <w:lang w:val="en-US"/>
        </w:rPr>
        <w:t xml:space="preserve"> </w:t>
      </w:r>
      <w:r w:rsidRPr="00F446F7">
        <w:rPr>
          <w:rFonts w:asciiTheme="minorHAnsi" w:hAnsiTheme="minorHAnsi" w:cs="Times New Roman"/>
          <w:sz w:val="24"/>
          <w:szCs w:val="24"/>
          <w:lang w:val="en-US"/>
        </w:rPr>
        <w:t>London.</w:t>
      </w:r>
    </w:p>
    <w:p w:rsidR="003E33B3" w:rsidRPr="00F446F7" w:rsidRDefault="003E33B3" w:rsidP="00F446F7">
      <w:pPr>
        <w:pStyle w:val="Prrafodelista"/>
        <w:numPr>
          <w:ilvl w:val="0"/>
          <w:numId w:val="16"/>
        </w:numPr>
        <w:autoSpaceDE w:val="0"/>
        <w:autoSpaceDN w:val="0"/>
        <w:adjustRightInd w:val="0"/>
        <w:spacing w:after="120"/>
        <w:jc w:val="both"/>
        <w:rPr>
          <w:rFonts w:asciiTheme="minorHAnsi" w:hAnsiTheme="minorHAnsi"/>
          <w:lang w:val="en-US"/>
        </w:rPr>
      </w:pPr>
      <w:r w:rsidRPr="00F446F7">
        <w:rPr>
          <w:rFonts w:asciiTheme="minorHAnsi" w:hAnsiTheme="minorHAnsi"/>
          <w:lang w:val="en-US"/>
        </w:rPr>
        <w:t>Pollock A, Kirkwood G. “Is the private sector better value for money than the</w:t>
      </w:r>
      <w:r w:rsidR="004C0B8A" w:rsidRPr="00F446F7">
        <w:rPr>
          <w:rFonts w:asciiTheme="minorHAnsi" w:hAnsiTheme="minorHAnsi"/>
          <w:lang w:val="en-US"/>
        </w:rPr>
        <w:t xml:space="preserve"> </w:t>
      </w:r>
      <w:r w:rsidRPr="00F446F7">
        <w:rPr>
          <w:rFonts w:asciiTheme="minorHAnsi" w:hAnsiTheme="minorHAnsi"/>
          <w:lang w:val="en-US"/>
        </w:rPr>
        <w:t xml:space="preserve">NHS? A Scottish case study”, </w:t>
      </w:r>
      <w:proofErr w:type="spellStart"/>
      <w:r w:rsidRPr="00F446F7">
        <w:rPr>
          <w:rFonts w:asciiTheme="minorHAnsi" w:hAnsiTheme="minorHAnsi"/>
          <w:i/>
          <w:iCs/>
          <w:lang w:val="en-US"/>
        </w:rPr>
        <w:t>B</w:t>
      </w:r>
      <w:r w:rsidR="007522E0">
        <w:rPr>
          <w:rFonts w:asciiTheme="minorHAnsi" w:hAnsiTheme="minorHAnsi"/>
          <w:i/>
          <w:iCs/>
          <w:lang w:val="en-US"/>
        </w:rPr>
        <w:t>MJ</w:t>
      </w:r>
      <w:r w:rsidRPr="00F446F7">
        <w:rPr>
          <w:rFonts w:asciiTheme="minorHAnsi" w:hAnsiTheme="minorHAnsi"/>
          <w:i/>
          <w:iCs/>
          <w:lang w:val="en-US"/>
        </w:rPr>
        <w:t>l</w:t>
      </w:r>
      <w:proofErr w:type="spellEnd"/>
      <w:r w:rsidR="007522E0">
        <w:rPr>
          <w:rFonts w:asciiTheme="minorHAnsi" w:hAnsiTheme="minorHAnsi"/>
          <w:i/>
          <w:iCs/>
          <w:lang w:val="en-US"/>
        </w:rPr>
        <w:t xml:space="preserve"> 2009; </w:t>
      </w:r>
      <w:r w:rsidRPr="00F446F7">
        <w:rPr>
          <w:rFonts w:asciiTheme="minorHAnsi" w:hAnsiTheme="minorHAnsi"/>
          <w:lang w:val="en-US"/>
        </w:rPr>
        <w:t>338</w:t>
      </w:r>
      <w:r w:rsidR="007522E0">
        <w:rPr>
          <w:rFonts w:asciiTheme="minorHAnsi" w:hAnsiTheme="minorHAnsi"/>
          <w:lang w:val="en-US"/>
        </w:rPr>
        <w:t>:</w:t>
      </w:r>
      <w:r w:rsidR="004C0B8A" w:rsidRPr="00F446F7">
        <w:rPr>
          <w:rFonts w:asciiTheme="minorHAnsi" w:hAnsiTheme="minorHAnsi"/>
          <w:lang w:val="en-US"/>
        </w:rPr>
        <w:t xml:space="preserve"> </w:t>
      </w:r>
      <w:r w:rsidRPr="00F446F7">
        <w:rPr>
          <w:rFonts w:asciiTheme="minorHAnsi" w:hAnsiTheme="minorHAnsi"/>
          <w:lang w:val="en-US"/>
        </w:rPr>
        <w:t>110</w:t>
      </w:r>
      <w:r w:rsidR="007522E0">
        <w:rPr>
          <w:rFonts w:asciiTheme="minorHAnsi" w:hAnsiTheme="minorHAnsi"/>
          <w:lang w:val="en-US"/>
        </w:rPr>
        <w:t>8-</w:t>
      </w:r>
      <w:r w:rsidRPr="00F446F7">
        <w:rPr>
          <w:rFonts w:asciiTheme="minorHAnsi" w:hAnsiTheme="minorHAnsi"/>
          <w:lang w:val="en-US"/>
        </w:rPr>
        <w:t>11.</w:t>
      </w:r>
    </w:p>
    <w:p w:rsidR="003E33B3" w:rsidRPr="00F446F7" w:rsidRDefault="002456CA" w:rsidP="00F446F7">
      <w:pPr>
        <w:pStyle w:val="Textonotaalfinal"/>
        <w:numPr>
          <w:ilvl w:val="0"/>
          <w:numId w:val="16"/>
        </w:numPr>
        <w:autoSpaceDE w:val="0"/>
        <w:autoSpaceDN w:val="0"/>
        <w:adjustRightInd w:val="0"/>
        <w:spacing w:after="120"/>
        <w:jc w:val="both"/>
        <w:rPr>
          <w:rFonts w:asciiTheme="minorHAnsi" w:hAnsiTheme="minorHAnsi" w:cs="Times New Roman"/>
          <w:sz w:val="24"/>
          <w:szCs w:val="24"/>
          <w:lang w:val="en-US"/>
        </w:rPr>
      </w:pPr>
      <w:r w:rsidRPr="00F446F7">
        <w:rPr>
          <w:rFonts w:asciiTheme="minorHAnsi" w:hAnsiTheme="minorHAnsi"/>
          <w:sz w:val="24"/>
          <w:szCs w:val="24"/>
        </w:rPr>
        <w:t xml:space="preserve">Repullo JR. Externalización, eficiencia y calidad. Análisis de costes y efectos potenciales de las políticas de externalización. Rev. Calidad Asistencial. </w:t>
      </w:r>
      <w:r w:rsidRPr="00F446F7">
        <w:rPr>
          <w:rFonts w:asciiTheme="minorHAnsi" w:hAnsiTheme="minorHAnsi"/>
          <w:sz w:val="24"/>
          <w:szCs w:val="24"/>
          <w:lang w:val="en-US"/>
        </w:rPr>
        <w:t>2008; 23(3)131-5</w:t>
      </w:r>
      <w:r w:rsidR="004C0B8A" w:rsidRPr="00F446F7">
        <w:rPr>
          <w:rFonts w:asciiTheme="minorHAnsi" w:hAnsiTheme="minorHAnsi"/>
          <w:sz w:val="24"/>
          <w:szCs w:val="24"/>
          <w:lang w:val="en-US"/>
        </w:rPr>
        <w:t>.</w:t>
      </w:r>
    </w:p>
    <w:p w:rsidR="003E33B3" w:rsidRPr="00F446F7" w:rsidRDefault="00D3074A" w:rsidP="00F446F7">
      <w:pPr>
        <w:pStyle w:val="Textonotaalfinal"/>
        <w:numPr>
          <w:ilvl w:val="0"/>
          <w:numId w:val="16"/>
        </w:numPr>
        <w:autoSpaceDE w:val="0"/>
        <w:autoSpaceDN w:val="0"/>
        <w:adjustRightInd w:val="0"/>
        <w:spacing w:after="120"/>
        <w:jc w:val="both"/>
        <w:rPr>
          <w:rFonts w:asciiTheme="minorHAnsi" w:hAnsiTheme="minorHAnsi" w:cs="Times New Roman"/>
          <w:sz w:val="24"/>
          <w:szCs w:val="24"/>
          <w:lang w:val="en-US"/>
        </w:rPr>
      </w:pPr>
      <w:proofErr w:type="spellStart"/>
      <w:r w:rsidRPr="00F446F7">
        <w:rPr>
          <w:rFonts w:asciiTheme="minorHAnsi" w:hAnsiTheme="minorHAnsi" w:cs="Times New Roman"/>
          <w:sz w:val="24"/>
          <w:szCs w:val="24"/>
          <w:lang w:val="en-US"/>
        </w:rPr>
        <w:t>Shaoul</w:t>
      </w:r>
      <w:proofErr w:type="spellEnd"/>
      <w:r w:rsidRPr="00F446F7">
        <w:rPr>
          <w:rFonts w:asciiTheme="minorHAnsi" w:hAnsiTheme="minorHAnsi" w:cs="Times New Roman"/>
          <w:sz w:val="24"/>
          <w:szCs w:val="24"/>
          <w:lang w:val="en-US"/>
        </w:rPr>
        <w:t xml:space="preserve"> J, Stafford A, Stapleton P. (forthcoming), ‘The cost of using private finance to build,</w:t>
      </w:r>
      <w:r w:rsidR="00AC46C5" w:rsidRPr="00F446F7">
        <w:rPr>
          <w:rFonts w:asciiTheme="minorHAnsi" w:hAnsiTheme="minorHAnsi" w:cs="Times New Roman"/>
          <w:sz w:val="24"/>
          <w:szCs w:val="24"/>
          <w:lang w:val="en-US"/>
        </w:rPr>
        <w:t xml:space="preserve"> </w:t>
      </w:r>
      <w:r w:rsidRPr="00F446F7">
        <w:rPr>
          <w:rFonts w:asciiTheme="minorHAnsi" w:hAnsiTheme="minorHAnsi" w:cs="Times New Roman"/>
          <w:sz w:val="24"/>
          <w:szCs w:val="24"/>
          <w:lang w:val="en-US"/>
        </w:rPr>
        <w:t xml:space="preserve">finance and operate the first 12 NHS hospitals in England’. </w:t>
      </w:r>
      <w:r w:rsidRPr="00F446F7">
        <w:rPr>
          <w:rFonts w:asciiTheme="minorHAnsi" w:hAnsiTheme="minorHAnsi" w:cs="Times New Roman"/>
          <w:i/>
          <w:iCs/>
          <w:sz w:val="24"/>
          <w:szCs w:val="24"/>
          <w:lang w:val="en-US"/>
        </w:rPr>
        <w:t>Public Money and Management</w:t>
      </w:r>
      <w:r w:rsidR="000C3BBF">
        <w:rPr>
          <w:rFonts w:asciiTheme="minorHAnsi" w:hAnsiTheme="minorHAnsi" w:cs="Times New Roman"/>
          <w:sz w:val="24"/>
          <w:szCs w:val="24"/>
          <w:lang w:val="en-US"/>
        </w:rPr>
        <w:t xml:space="preserve"> 2008. </w:t>
      </w:r>
      <w:r w:rsidRPr="00F446F7">
        <w:rPr>
          <w:rFonts w:asciiTheme="minorHAnsi" w:hAnsiTheme="minorHAnsi" w:cs="Times New Roman"/>
          <w:sz w:val="24"/>
          <w:szCs w:val="24"/>
          <w:lang w:val="en-US"/>
        </w:rPr>
        <w:t>London.</w:t>
      </w:r>
    </w:p>
    <w:p w:rsidR="003E33B3" w:rsidRPr="000C3BBF" w:rsidRDefault="003E33B3" w:rsidP="00F446F7">
      <w:pPr>
        <w:pStyle w:val="Prrafodelista"/>
        <w:numPr>
          <w:ilvl w:val="0"/>
          <w:numId w:val="16"/>
        </w:numPr>
        <w:autoSpaceDE w:val="0"/>
        <w:autoSpaceDN w:val="0"/>
        <w:adjustRightInd w:val="0"/>
        <w:spacing w:after="120"/>
        <w:jc w:val="both"/>
        <w:rPr>
          <w:rFonts w:asciiTheme="minorHAnsi" w:hAnsiTheme="minorHAnsi"/>
          <w:lang w:val="en-US"/>
        </w:rPr>
      </w:pPr>
      <w:proofErr w:type="spellStart"/>
      <w:r w:rsidRPr="000C3BBF">
        <w:rPr>
          <w:rFonts w:asciiTheme="minorHAnsi" w:hAnsiTheme="minorHAnsi"/>
          <w:lang w:val="en-US"/>
        </w:rPr>
        <w:t>Shaoul</w:t>
      </w:r>
      <w:proofErr w:type="spellEnd"/>
      <w:r w:rsidRPr="000C3BBF">
        <w:rPr>
          <w:rFonts w:asciiTheme="minorHAnsi" w:hAnsiTheme="minorHAnsi"/>
          <w:lang w:val="en-US"/>
        </w:rPr>
        <w:t xml:space="preserve"> J, Stafford A</w:t>
      </w:r>
      <w:r w:rsidR="000C3BBF" w:rsidRPr="000C3BBF">
        <w:rPr>
          <w:rFonts w:asciiTheme="minorHAnsi" w:hAnsiTheme="minorHAnsi"/>
          <w:lang w:val="en-US"/>
        </w:rPr>
        <w:t>,</w:t>
      </w:r>
      <w:r w:rsidRPr="000C3BBF">
        <w:rPr>
          <w:rFonts w:asciiTheme="minorHAnsi" w:hAnsiTheme="minorHAnsi"/>
          <w:lang w:val="en-US"/>
        </w:rPr>
        <w:t xml:space="preserve"> Stapleton P. “The Cost of Using Private Finance to Build,</w:t>
      </w:r>
      <w:r w:rsidR="000C3BBF" w:rsidRPr="000C3BBF">
        <w:rPr>
          <w:rFonts w:asciiTheme="minorHAnsi" w:hAnsiTheme="minorHAnsi"/>
          <w:lang w:val="en-US"/>
        </w:rPr>
        <w:t xml:space="preserve"> Finance and Operate Hospitals”.</w:t>
      </w:r>
      <w:r w:rsidRPr="000C3BBF">
        <w:rPr>
          <w:rFonts w:asciiTheme="minorHAnsi" w:hAnsiTheme="minorHAnsi"/>
          <w:lang w:val="en-US"/>
        </w:rPr>
        <w:t xml:space="preserve"> </w:t>
      </w:r>
      <w:r w:rsidRPr="000C3BBF">
        <w:rPr>
          <w:rFonts w:asciiTheme="minorHAnsi" w:hAnsiTheme="minorHAnsi"/>
          <w:i/>
          <w:iCs/>
          <w:lang w:val="en-US"/>
        </w:rPr>
        <w:t>Public Money and Management</w:t>
      </w:r>
      <w:r w:rsidR="000C3BBF" w:rsidRPr="000C3BBF">
        <w:rPr>
          <w:rFonts w:asciiTheme="minorHAnsi" w:hAnsiTheme="minorHAnsi"/>
          <w:i/>
          <w:iCs/>
          <w:lang w:val="en-US"/>
        </w:rPr>
        <w:t xml:space="preserve"> 2008b;</w:t>
      </w:r>
      <w:r w:rsidRPr="000C3BBF">
        <w:rPr>
          <w:rFonts w:asciiTheme="minorHAnsi" w:hAnsiTheme="minorHAnsi"/>
          <w:lang w:val="en-US"/>
        </w:rPr>
        <w:t xml:space="preserve"> 28</w:t>
      </w:r>
      <w:r w:rsidR="000C3BBF" w:rsidRPr="000C3BBF">
        <w:rPr>
          <w:rFonts w:asciiTheme="minorHAnsi" w:hAnsiTheme="minorHAnsi"/>
          <w:lang w:val="en-US"/>
        </w:rPr>
        <w:t>(2): 101–</w:t>
      </w:r>
      <w:r w:rsidRPr="000C3BBF">
        <w:rPr>
          <w:rFonts w:asciiTheme="minorHAnsi" w:hAnsiTheme="minorHAnsi"/>
          <w:lang w:val="en-US"/>
        </w:rPr>
        <w:t>08.</w:t>
      </w:r>
    </w:p>
    <w:p w:rsidR="003E33B3" w:rsidRPr="00F446F7" w:rsidRDefault="000C3BBF" w:rsidP="00F446F7">
      <w:pPr>
        <w:pStyle w:val="Prrafodelista"/>
        <w:numPr>
          <w:ilvl w:val="0"/>
          <w:numId w:val="16"/>
        </w:numPr>
        <w:autoSpaceDE w:val="0"/>
        <w:autoSpaceDN w:val="0"/>
        <w:adjustRightInd w:val="0"/>
        <w:spacing w:after="120"/>
        <w:jc w:val="both"/>
        <w:rPr>
          <w:rFonts w:asciiTheme="minorHAnsi" w:hAnsiTheme="minorHAnsi"/>
          <w:lang w:val="en-US"/>
        </w:rPr>
      </w:pPr>
      <w:proofErr w:type="spellStart"/>
      <w:r>
        <w:rPr>
          <w:rFonts w:asciiTheme="minorHAnsi" w:hAnsiTheme="minorHAnsi"/>
          <w:lang w:val="en-US"/>
        </w:rPr>
        <w:t>Shaoul</w:t>
      </w:r>
      <w:proofErr w:type="spellEnd"/>
      <w:r w:rsidR="003E33B3" w:rsidRPr="00F446F7">
        <w:rPr>
          <w:rFonts w:asciiTheme="minorHAnsi" w:hAnsiTheme="minorHAnsi"/>
          <w:lang w:val="en-US"/>
        </w:rPr>
        <w:t xml:space="preserve"> J, Stafford A</w:t>
      </w:r>
      <w:r>
        <w:rPr>
          <w:rFonts w:asciiTheme="minorHAnsi" w:hAnsiTheme="minorHAnsi"/>
          <w:lang w:val="en-US"/>
        </w:rPr>
        <w:t xml:space="preserve">, </w:t>
      </w:r>
      <w:r w:rsidR="003E33B3" w:rsidRPr="00F446F7">
        <w:rPr>
          <w:rFonts w:asciiTheme="minorHAnsi" w:hAnsiTheme="minorHAnsi"/>
          <w:lang w:val="en-US"/>
        </w:rPr>
        <w:t xml:space="preserve">Stapleton P. “NHS capital investment and PFI: from </w:t>
      </w:r>
      <w:proofErr w:type="gramStart"/>
      <w:r w:rsidR="003E33B3" w:rsidRPr="00F446F7">
        <w:rPr>
          <w:rFonts w:asciiTheme="minorHAnsi" w:hAnsiTheme="minorHAnsi"/>
          <w:lang w:val="en-US"/>
        </w:rPr>
        <w:t>central  government</w:t>
      </w:r>
      <w:proofErr w:type="gramEnd"/>
      <w:r w:rsidR="003E33B3" w:rsidRPr="00F446F7">
        <w:rPr>
          <w:rFonts w:asciiTheme="minorHAnsi" w:hAnsiTheme="minorHAnsi"/>
          <w:lang w:val="en-US"/>
        </w:rPr>
        <w:t xml:space="preserve"> respons</w:t>
      </w:r>
      <w:r>
        <w:rPr>
          <w:rFonts w:asciiTheme="minorHAnsi" w:hAnsiTheme="minorHAnsi"/>
          <w:lang w:val="en-US"/>
        </w:rPr>
        <w:t>ibility to local affordability”.</w:t>
      </w:r>
      <w:r w:rsidR="003E33B3" w:rsidRPr="00F446F7">
        <w:rPr>
          <w:rFonts w:asciiTheme="minorHAnsi" w:hAnsiTheme="minorHAnsi"/>
          <w:lang w:val="en-US"/>
        </w:rPr>
        <w:t xml:space="preserve"> </w:t>
      </w:r>
      <w:r w:rsidR="003E33B3" w:rsidRPr="00F446F7">
        <w:rPr>
          <w:rFonts w:asciiTheme="minorHAnsi" w:hAnsiTheme="minorHAnsi"/>
          <w:i/>
          <w:iCs/>
          <w:lang w:val="en-US"/>
        </w:rPr>
        <w:t>Financial Accountability and</w:t>
      </w:r>
      <w:r w:rsidR="004C0B8A" w:rsidRPr="00F446F7">
        <w:rPr>
          <w:rFonts w:asciiTheme="minorHAnsi" w:hAnsiTheme="minorHAnsi"/>
          <w:i/>
          <w:iCs/>
          <w:lang w:val="en-US"/>
        </w:rPr>
        <w:t xml:space="preserve"> </w:t>
      </w:r>
      <w:r w:rsidR="003E33B3" w:rsidRPr="00F446F7">
        <w:rPr>
          <w:rFonts w:asciiTheme="minorHAnsi" w:hAnsiTheme="minorHAnsi"/>
          <w:i/>
          <w:iCs/>
          <w:lang w:val="en-US"/>
        </w:rPr>
        <w:t>Management</w:t>
      </w:r>
      <w:r>
        <w:rPr>
          <w:rFonts w:asciiTheme="minorHAnsi" w:hAnsiTheme="minorHAnsi"/>
          <w:lang w:val="en-US"/>
        </w:rPr>
        <w:t xml:space="preserve"> 2011; </w:t>
      </w:r>
      <w:r w:rsidR="003E33B3" w:rsidRPr="00F446F7">
        <w:rPr>
          <w:rFonts w:asciiTheme="minorHAnsi" w:hAnsiTheme="minorHAnsi"/>
          <w:lang w:val="en-US"/>
        </w:rPr>
        <w:t>27</w:t>
      </w:r>
      <w:r>
        <w:rPr>
          <w:rFonts w:asciiTheme="minorHAnsi" w:hAnsiTheme="minorHAnsi"/>
          <w:lang w:val="en-US"/>
        </w:rPr>
        <w:t>(</w:t>
      </w:r>
      <w:r w:rsidR="003E33B3" w:rsidRPr="00F446F7">
        <w:rPr>
          <w:rFonts w:asciiTheme="minorHAnsi" w:hAnsiTheme="minorHAnsi"/>
          <w:lang w:val="en-US"/>
        </w:rPr>
        <w:t>1</w:t>
      </w:r>
      <w:r>
        <w:rPr>
          <w:rFonts w:asciiTheme="minorHAnsi" w:hAnsiTheme="minorHAnsi"/>
          <w:lang w:val="en-US"/>
        </w:rPr>
        <w:t xml:space="preserve">): </w:t>
      </w:r>
      <w:r w:rsidR="003E33B3" w:rsidRPr="00F446F7">
        <w:rPr>
          <w:rFonts w:asciiTheme="minorHAnsi" w:hAnsiTheme="minorHAnsi"/>
          <w:lang w:val="en-US"/>
        </w:rPr>
        <w:t>1-17.</w:t>
      </w:r>
    </w:p>
    <w:p w:rsidR="003E33B3" w:rsidRPr="000C3BBF" w:rsidRDefault="003E33B3" w:rsidP="00F446F7">
      <w:pPr>
        <w:pStyle w:val="Prrafodelista"/>
        <w:numPr>
          <w:ilvl w:val="0"/>
          <w:numId w:val="16"/>
        </w:numPr>
        <w:autoSpaceDE w:val="0"/>
        <w:autoSpaceDN w:val="0"/>
        <w:adjustRightInd w:val="0"/>
        <w:spacing w:after="120"/>
        <w:jc w:val="both"/>
        <w:rPr>
          <w:rFonts w:asciiTheme="minorHAnsi" w:hAnsiTheme="minorHAnsi"/>
          <w:lang w:val="en-US"/>
        </w:rPr>
      </w:pPr>
      <w:r w:rsidRPr="000C3BBF">
        <w:rPr>
          <w:rFonts w:asciiTheme="minorHAnsi" w:hAnsiTheme="minorHAnsi"/>
          <w:lang w:val="en-US"/>
        </w:rPr>
        <w:t>Sussex J. “Public-private partnerships in hospital development: lessons from the UK’s ‘private finance initiative’”</w:t>
      </w:r>
      <w:r w:rsidR="000C3BBF" w:rsidRPr="000C3BBF">
        <w:rPr>
          <w:rFonts w:asciiTheme="minorHAnsi" w:hAnsiTheme="minorHAnsi"/>
          <w:lang w:val="en-US"/>
        </w:rPr>
        <w:t>.</w:t>
      </w:r>
      <w:r w:rsidRPr="000C3BBF">
        <w:rPr>
          <w:rFonts w:asciiTheme="minorHAnsi" w:hAnsiTheme="minorHAnsi"/>
          <w:lang w:val="en-US"/>
        </w:rPr>
        <w:t xml:space="preserve"> </w:t>
      </w:r>
      <w:r w:rsidRPr="000C3BBF">
        <w:rPr>
          <w:rFonts w:asciiTheme="minorHAnsi" w:hAnsiTheme="minorHAnsi"/>
          <w:i/>
          <w:iCs/>
          <w:lang w:val="en-US"/>
        </w:rPr>
        <w:t>Research in Health Care Financial Management</w:t>
      </w:r>
      <w:r w:rsidR="000C3BBF" w:rsidRPr="000C3BBF">
        <w:rPr>
          <w:rFonts w:asciiTheme="minorHAnsi" w:hAnsiTheme="minorHAnsi"/>
          <w:i/>
          <w:iCs/>
          <w:lang w:val="en-US"/>
        </w:rPr>
        <w:t xml:space="preserve"> 2003; </w:t>
      </w:r>
      <w:r w:rsidRPr="000C3BBF">
        <w:rPr>
          <w:rFonts w:asciiTheme="minorHAnsi" w:hAnsiTheme="minorHAnsi"/>
          <w:lang w:val="en-US"/>
        </w:rPr>
        <w:t>8</w:t>
      </w:r>
      <w:r w:rsidR="000C3BBF">
        <w:rPr>
          <w:rFonts w:asciiTheme="minorHAnsi" w:hAnsiTheme="minorHAnsi"/>
          <w:lang w:val="en-US"/>
        </w:rPr>
        <w:t>(</w:t>
      </w:r>
      <w:r w:rsidRPr="000C3BBF">
        <w:rPr>
          <w:rFonts w:asciiTheme="minorHAnsi" w:hAnsiTheme="minorHAnsi"/>
          <w:lang w:val="en-US"/>
        </w:rPr>
        <w:t>1</w:t>
      </w:r>
      <w:r w:rsidR="000C3BBF">
        <w:rPr>
          <w:rFonts w:asciiTheme="minorHAnsi" w:hAnsiTheme="minorHAnsi"/>
          <w:lang w:val="en-US"/>
        </w:rPr>
        <w:t>):</w:t>
      </w:r>
      <w:r w:rsidRPr="000C3BBF">
        <w:rPr>
          <w:rFonts w:asciiTheme="minorHAnsi" w:hAnsiTheme="minorHAnsi"/>
          <w:lang w:val="en-US"/>
        </w:rPr>
        <w:t>59-76.</w:t>
      </w:r>
    </w:p>
    <w:p w:rsidR="003E33B3" w:rsidRPr="00F446F7" w:rsidRDefault="000C3BBF" w:rsidP="00F446F7">
      <w:pPr>
        <w:pStyle w:val="Prrafodelista"/>
        <w:numPr>
          <w:ilvl w:val="0"/>
          <w:numId w:val="16"/>
        </w:numPr>
        <w:autoSpaceDE w:val="0"/>
        <w:autoSpaceDN w:val="0"/>
        <w:adjustRightInd w:val="0"/>
        <w:spacing w:after="120"/>
        <w:jc w:val="both"/>
        <w:rPr>
          <w:rFonts w:asciiTheme="minorHAnsi" w:hAnsiTheme="minorHAnsi"/>
          <w:lang w:val="en-US"/>
        </w:rPr>
      </w:pPr>
      <w:r>
        <w:rPr>
          <w:rFonts w:asciiTheme="minorHAnsi" w:hAnsiTheme="minorHAnsi"/>
          <w:lang w:val="en-US"/>
        </w:rPr>
        <w:t>Thompson</w:t>
      </w:r>
      <w:r w:rsidR="003E33B3" w:rsidRPr="00F446F7">
        <w:rPr>
          <w:rFonts w:asciiTheme="minorHAnsi" w:hAnsiTheme="minorHAnsi"/>
          <w:lang w:val="en-US"/>
        </w:rPr>
        <w:t xml:space="preserve"> C</w:t>
      </w:r>
      <w:r>
        <w:rPr>
          <w:rFonts w:asciiTheme="minorHAnsi" w:hAnsiTheme="minorHAnsi"/>
          <w:lang w:val="en-US"/>
        </w:rPr>
        <w:t>,</w:t>
      </w:r>
      <w:r w:rsidR="003E33B3" w:rsidRPr="00F446F7">
        <w:rPr>
          <w:rFonts w:asciiTheme="minorHAnsi" w:hAnsiTheme="minorHAnsi"/>
          <w:lang w:val="en-US"/>
        </w:rPr>
        <w:t xml:space="preserve"> McKee M. “Financing and planning of public and private not-</w:t>
      </w:r>
      <w:proofErr w:type="spellStart"/>
      <w:r w:rsidR="003E33B3" w:rsidRPr="00F446F7">
        <w:rPr>
          <w:rFonts w:asciiTheme="minorHAnsi" w:hAnsiTheme="minorHAnsi"/>
          <w:lang w:val="en-US"/>
        </w:rPr>
        <w:t>forprofit</w:t>
      </w:r>
      <w:proofErr w:type="spellEnd"/>
      <w:r w:rsidR="003E33B3" w:rsidRPr="00F446F7">
        <w:rPr>
          <w:rFonts w:asciiTheme="minorHAnsi" w:hAnsiTheme="minorHAnsi"/>
          <w:lang w:val="en-US"/>
        </w:rPr>
        <w:t xml:space="preserve"> hospitals in the European Union”</w:t>
      </w:r>
      <w:r>
        <w:rPr>
          <w:rFonts w:asciiTheme="minorHAnsi" w:hAnsiTheme="minorHAnsi"/>
          <w:lang w:val="en-US"/>
        </w:rPr>
        <w:t>.</w:t>
      </w:r>
      <w:r w:rsidR="003E33B3" w:rsidRPr="00F446F7">
        <w:rPr>
          <w:rFonts w:asciiTheme="minorHAnsi" w:hAnsiTheme="minorHAnsi"/>
          <w:lang w:val="en-US"/>
        </w:rPr>
        <w:t xml:space="preserve"> </w:t>
      </w:r>
      <w:r w:rsidR="003E33B3" w:rsidRPr="00F446F7">
        <w:rPr>
          <w:rFonts w:asciiTheme="minorHAnsi" w:hAnsiTheme="minorHAnsi"/>
          <w:i/>
          <w:iCs/>
          <w:lang w:val="en-US"/>
        </w:rPr>
        <w:t>Health Policy</w:t>
      </w:r>
      <w:r>
        <w:rPr>
          <w:rFonts w:asciiTheme="minorHAnsi" w:hAnsiTheme="minorHAnsi"/>
          <w:i/>
          <w:iCs/>
          <w:lang w:val="en-US"/>
        </w:rPr>
        <w:t xml:space="preserve"> 2004; </w:t>
      </w:r>
      <w:r w:rsidR="003E33B3" w:rsidRPr="00F446F7">
        <w:rPr>
          <w:rFonts w:asciiTheme="minorHAnsi" w:hAnsiTheme="minorHAnsi"/>
          <w:lang w:val="en-US"/>
        </w:rPr>
        <w:t>67</w:t>
      </w:r>
      <w:r>
        <w:rPr>
          <w:rFonts w:asciiTheme="minorHAnsi" w:hAnsiTheme="minorHAnsi"/>
          <w:lang w:val="en-US"/>
        </w:rPr>
        <w:t>:</w:t>
      </w:r>
      <w:r w:rsidR="003E33B3" w:rsidRPr="00F446F7">
        <w:rPr>
          <w:rFonts w:asciiTheme="minorHAnsi" w:hAnsiTheme="minorHAnsi"/>
          <w:lang w:val="en-US"/>
        </w:rPr>
        <w:t>281- 91.</w:t>
      </w:r>
    </w:p>
    <w:p w:rsidR="003E33B3" w:rsidRPr="00F446F7" w:rsidRDefault="004C0B8A" w:rsidP="00F446F7">
      <w:pPr>
        <w:pStyle w:val="Prrafodelista"/>
        <w:numPr>
          <w:ilvl w:val="0"/>
          <w:numId w:val="16"/>
        </w:numPr>
        <w:autoSpaceDE w:val="0"/>
        <w:autoSpaceDN w:val="0"/>
        <w:adjustRightInd w:val="0"/>
        <w:spacing w:after="120"/>
        <w:jc w:val="both"/>
        <w:rPr>
          <w:rFonts w:asciiTheme="minorHAnsi" w:hAnsiTheme="minorHAnsi"/>
          <w:lang w:val="en-US"/>
        </w:rPr>
      </w:pPr>
      <w:proofErr w:type="spellStart"/>
      <w:r w:rsidRPr="00F446F7">
        <w:rPr>
          <w:rFonts w:asciiTheme="minorHAnsi" w:hAnsiTheme="minorHAnsi"/>
          <w:lang w:val="en-US"/>
        </w:rPr>
        <w:t>Whorley</w:t>
      </w:r>
      <w:proofErr w:type="spellEnd"/>
      <w:r w:rsidRPr="00F446F7">
        <w:rPr>
          <w:rFonts w:asciiTheme="minorHAnsi" w:hAnsiTheme="minorHAnsi"/>
          <w:lang w:val="en-US"/>
        </w:rPr>
        <w:t xml:space="preserve"> D. “The Andersen-</w:t>
      </w:r>
      <w:proofErr w:type="spellStart"/>
      <w:r w:rsidRPr="00F446F7">
        <w:rPr>
          <w:rFonts w:asciiTheme="minorHAnsi" w:hAnsiTheme="minorHAnsi"/>
          <w:lang w:val="en-US"/>
        </w:rPr>
        <w:t>Comsoc</w:t>
      </w:r>
      <w:proofErr w:type="spellEnd"/>
      <w:r w:rsidRPr="00F446F7">
        <w:rPr>
          <w:rFonts w:asciiTheme="minorHAnsi" w:hAnsiTheme="minorHAnsi"/>
          <w:lang w:val="en-US"/>
        </w:rPr>
        <w:t xml:space="preserve"> affair: Partnerships and the public interest”</w:t>
      </w:r>
      <w:r w:rsidR="000C3BBF">
        <w:rPr>
          <w:rFonts w:asciiTheme="minorHAnsi" w:hAnsiTheme="minorHAnsi"/>
          <w:lang w:val="en-US"/>
        </w:rPr>
        <w:t>.</w:t>
      </w:r>
      <w:r w:rsidRPr="00F446F7">
        <w:rPr>
          <w:rFonts w:asciiTheme="minorHAnsi" w:hAnsiTheme="minorHAnsi"/>
          <w:lang w:val="en-US"/>
        </w:rPr>
        <w:t xml:space="preserve"> </w:t>
      </w:r>
      <w:r w:rsidRPr="00F446F7">
        <w:rPr>
          <w:rFonts w:asciiTheme="minorHAnsi" w:hAnsiTheme="minorHAnsi"/>
          <w:i/>
          <w:iCs/>
          <w:lang w:val="en-US"/>
        </w:rPr>
        <w:t xml:space="preserve">Canadian Public Administration-Administration </w:t>
      </w:r>
      <w:proofErr w:type="spellStart"/>
      <w:r w:rsidRPr="00F446F7">
        <w:rPr>
          <w:rFonts w:asciiTheme="minorHAnsi" w:hAnsiTheme="minorHAnsi"/>
          <w:i/>
          <w:iCs/>
          <w:lang w:val="en-US"/>
        </w:rPr>
        <w:t>Publique</w:t>
      </w:r>
      <w:proofErr w:type="spellEnd"/>
      <w:r w:rsidRPr="00F446F7">
        <w:rPr>
          <w:rFonts w:asciiTheme="minorHAnsi" w:hAnsiTheme="minorHAnsi"/>
          <w:i/>
          <w:iCs/>
          <w:lang w:val="en-US"/>
        </w:rPr>
        <w:t xml:space="preserve"> du Canada</w:t>
      </w:r>
      <w:r w:rsidR="000C3BBF">
        <w:rPr>
          <w:rFonts w:asciiTheme="minorHAnsi" w:hAnsiTheme="minorHAnsi"/>
          <w:lang w:val="en-US"/>
        </w:rPr>
        <w:t xml:space="preserve"> 2001; </w:t>
      </w:r>
      <w:r w:rsidRPr="00F446F7">
        <w:rPr>
          <w:rFonts w:asciiTheme="minorHAnsi" w:hAnsiTheme="minorHAnsi"/>
          <w:lang w:val="en-US"/>
        </w:rPr>
        <w:t>44</w:t>
      </w:r>
      <w:r w:rsidR="000C3BBF">
        <w:rPr>
          <w:rFonts w:asciiTheme="minorHAnsi" w:hAnsiTheme="minorHAnsi"/>
          <w:lang w:val="en-US"/>
        </w:rPr>
        <w:t>(3):320-</w:t>
      </w:r>
      <w:r w:rsidRPr="00F446F7">
        <w:rPr>
          <w:rFonts w:asciiTheme="minorHAnsi" w:hAnsiTheme="minorHAnsi"/>
          <w:lang w:val="en-US"/>
        </w:rPr>
        <w:t>45.</w:t>
      </w:r>
    </w:p>
    <w:p w:rsidR="002456CA" w:rsidRPr="00F446F7" w:rsidRDefault="002456CA" w:rsidP="00F446F7">
      <w:pPr>
        <w:pStyle w:val="Textoindependiente3"/>
        <w:spacing w:after="240"/>
        <w:rPr>
          <w:rFonts w:asciiTheme="minorHAnsi" w:hAnsiTheme="minorHAnsi"/>
          <w:b/>
          <w:color w:val="000000" w:themeColor="text1"/>
          <w:sz w:val="24"/>
          <w:szCs w:val="24"/>
          <w:lang w:val="en-US"/>
        </w:rPr>
      </w:pPr>
    </w:p>
    <w:p w:rsidR="009410CA" w:rsidRPr="00F446F7" w:rsidRDefault="009410CA" w:rsidP="00F446F7">
      <w:pPr>
        <w:pStyle w:val="Textoindependiente3"/>
        <w:spacing w:after="240"/>
        <w:rPr>
          <w:rFonts w:asciiTheme="minorHAnsi" w:hAnsiTheme="minorHAnsi"/>
          <w:color w:val="000000" w:themeColor="text1"/>
          <w:sz w:val="24"/>
          <w:szCs w:val="24"/>
          <w:lang w:val="en-US"/>
        </w:rPr>
      </w:pPr>
    </w:p>
    <w:p w:rsidR="00230D0A" w:rsidRPr="00F446F7" w:rsidRDefault="00230D0A" w:rsidP="00F446F7">
      <w:pPr>
        <w:spacing w:after="240"/>
        <w:jc w:val="both"/>
        <w:rPr>
          <w:rFonts w:cs="Swiss721BT-Light"/>
          <w:color w:val="000000" w:themeColor="text1"/>
          <w:sz w:val="24"/>
          <w:szCs w:val="24"/>
          <w:lang w:val="en-US"/>
        </w:rPr>
      </w:pPr>
    </w:p>
    <w:p w:rsidR="00D265CD" w:rsidRPr="00F446F7" w:rsidRDefault="00D265CD" w:rsidP="00F446F7">
      <w:pPr>
        <w:spacing w:after="240"/>
        <w:jc w:val="both"/>
        <w:rPr>
          <w:b/>
          <w:color w:val="000000" w:themeColor="text1"/>
          <w:sz w:val="24"/>
          <w:szCs w:val="24"/>
          <w:lang w:val="en-US"/>
        </w:rPr>
      </w:pPr>
    </w:p>
    <w:p w:rsidR="002456CA" w:rsidRPr="00F446F7" w:rsidRDefault="002456CA" w:rsidP="00F446F7">
      <w:pPr>
        <w:spacing w:after="240"/>
        <w:jc w:val="both"/>
        <w:rPr>
          <w:b/>
          <w:color w:val="000000" w:themeColor="text1"/>
          <w:sz w:val="24"/>
          <w:szCs w:val="24"/>
          <w:lang w:val="en-US"/>
        </w:rPr>
      </w:pPr>
    </w:p>
    <w:sectPr w:rsidR="002456CA" w:rsidRPr="00F446F7">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DD" w:rsidRDefault="005727DD" w:rsidP="00FC4FF1">
      <w:pPr>
        <w:spacing w:after="0" w:line="240" w:lineRule="auto"/>
      </w:pPr>
      <w:r>
        <w:separator/>
      </w:r>
    </w:p>
  </w:endnote>
  <w:endnote w:type="continuationSeparator" w:id="0">
    <w:p w:rsidR="005727DD" w:rsidRDefault="005727DD" w:rsidP="00FC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utigerLTStd-LightCn">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9205"/>
      <w:docPartObj>
        <w:docPartGallery w:val="Page Numbers (Bottom of Page)"/>
        <w:docPartUnique/>
      </w:docPartObj>
    </w:sdtPr>
    <w:sdtEndPr/>
    <w:sdtContent>
      <w:p w:rsidR="00B30460" w:rsidRDefault="00B30460">
        <w:pPr>
          <w:pStyle w:val="Piedepgina"/>
          <w:jc w:val="center"/>
        </w:pPr>
        <w:r>
          <w:fldChar w:fldCharType="begin"/>
        </w:r>
        <w:r>
          <w:instrText>PAGE   \* MERGEFORMAT</w:instrText>
        </w:r>
        <w:r>
          <w:fldChar w:fldCharType="separate"/>
        </w:r>
        <w:r w:rsidR="00D23F8F">
          <w:rPr>
            <w:noProof/>
          </w:rPr>
          <w:t>1</w:t>
        </w:r>
        <w:r>
          <w:fldChar w:fldCharType="end"/>
        </w:r>
      </w:p>
    </w:sdtContent>
  </w:sdt>
  <w:p w:rsidR="00663C11" w:rsidRDefault="00663C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DD" w:rsidRDefault="005727DD" w:rsidP="00FC4FF1">
      <w:pPr>
        <w:spacing w:after="0" w:line="240" w:lineRule="auto"/>
      </w:pPr>
      <w:r>
        <w:separator/>
      </w:r>
    </w:p>
  </w:footnote>
  <w:footnote w:type="continuationSeparator" w:id="0">
    <w:p w:rsidR="005727DD" w:rsidRDefault="005727DD" w:rsidP="00FC4FF1">
      <w:pPr>
        <w:spacing w:after="0" w:line="240" w:lineRule="auto"/>
      </w:pPr>
      <w:r>
        <w:continuationSeparator/>
      </w:r>
    </w:p>
  </w:footnote>
  <w:footnote w:id="1">
    <w:p w:rsidR="006C74B7" w:rsidRPr="00F446F7" w:rsidRDefault="006C74B7" w:rsidP="006C74B7">
      <w:pPr>
        <w:autoSpaceDE w:val="0"/>
        <w:autoSpaceDN w:val="0"/>
        <w:adjustRightInd w:val="0"/>
        <w:spacing w:after="0" w:line="240" w:lineRule="auto"/>
        <w:rPr>
          <w:sz w:val="18"/>
          <w:szCs w:val="18"/>
        </w:rPr>
      </w:pPr>
      <w:r w:rsidRPr="00F446F7">
        <w:rPr>
          <w:rStyle w:val="Refdenotaalpie"/>
          <w:sz w:val="18"/>
          <w:szCs w:val="18"/>
        </w:rPr>
        <w:footnoteRef/>
      </w:r>
      <w:r w:rsidRPr="00F446F7">
        <w:rPr>
          <w:sz w:val="18"/>
          <w:szCs w:val="18"/>
        </w:rPr>
        <w:t xml:space="preserve"> </w:t>
      </w:r>
      <w:proofErr w:type="spellStart"/>
      <w:r w:rsidRPr="00F446F7">
        <w:rPr>
          <w:rFonts w:cs="TimesNewRomanPSMT"/>
          <w:sz w:val="18"/>
          <w:szCs w:val="18"/>
        </w:rPr>
        <w:t>Abiad</w:t>
      </w:r>
      <w:proofErr w:type="spellEnd"/>
      <w:r w:rsidRPr="00F446F7">
        <w:rPr>
          <w:rFonts w:cs="TimesNewRomanPSMT"/>
          <w:sz w:val="18"/>
          <w:szCs w:val="18"/>
        </w:rPr>
        <w:t xml:space="preserve"> A,  </w:t>
      </w:r>
      <w:proofErr w:type="spellStart"/>
      <w:r w:rsidRPr="00F446F7">
        <w:rPr>
          <w:rFonts w:cs="TimesNewRomanPSMT"/>
          <w:sz w:val="18"/>
          <w:szCs w:val="18"/>
        </w:rPr>
        <w:t>Almansour</w:t>
      </w:r>
      <w:proofErr w:type="spellEnd"/>
      <w:r w:rsidRPr="00F446F7">
        <w:rPr>
          <w:rFonts w:cs="TimesNewRomanPSMT"/>
          <w:sz w:val="18"/>
          <w:szCs w:val="18"/>
        </w:rPr>
        <w:t xml:space="preserve"> A,  </w:t>
      </w:r>
      <w:proofErr w:type="spellStart"/>
      <w:r w:rsidRPr="00F446F7">
        <w:rPr>
          <w:rFonts w:cs="TimesNewRomanPSMT"/>
          <w:sz w:val="18"/>
          <w:szCs w:val="18"/>
        </w:rPr>
        <w:t>Furceri</w:t>
      </w:r>
      <w:proofErr w:type="spellEnd"/>
      <w:r w:rsidRPr="00F446F7">
        <w:rPr>
          <w:rFonts w:cs="TimesNewRomanPSMT"/>
          <w:sz w:val="18"/>
          <w:szCs w:val="18"/>
        </w:rPr>
        <w:t xml:space="preserve"> D, Mulas C, </w:t>
      </w:r>
      <w:proofErr w:type="spellStart"/>
      <w:r w:rsidRPr="00F446F7">
        <w:rPr>
          <w:rFonts w:cs="TimesNewRomanPSMT"/>
          <w:sz w:val="18"/>
          <w:szCs w:val="18"/>
        </w:rPr>
        <w:t>Topalova</w:t>
      </w:r>
      <w:proofErr w:type="spellEnd"/>
      <w:r w:rsidRPr="00F446F7">
        <w:rPr>
          <w:rFonts w:cs="TimesNewRomanPSMT"/>
          <w:sz w:val="18"/>
          <w:szCs w:val="18"/>
        </w:rPr>
        <w:t xml:space="preserve"> P.</w:t>
      </w:r>
      <w:r w:rsidRPr="00F446F7">
        <w:rPr>
          <w:rFonts w:cs="TimesNewRomanPS-BoldMT"/>
          <w:bCs/>
          <w:sz w:val="18"/>
          <w:szCs w:val="18"/>
        </w:rPr>
        <w:t xml:space="preserve"> </w:t>
      </w:r>
      <w:r w:rsidR="006D190A">
        <w:rPr>
          <w:rFonts w:cs="TimesNewRomanPS-BoldMT"/>
          <w:bCs/>
          <w:sz w:val="18"/>
          <w:szCs w:val="18"/>
        </w:rPr>
        <w:t>¿</w:t>
      </w:r>
      <w:r w:rsidRPr="00F446F7">
        <w:rPr>
          <w:rFonts w:cs="TimesNewRomanPS-BoldMT"/>
          <w:bCs/>
          <w:sz w:val="18"/>
          <w:szCs w:val="18"/>
        </w:rPr>
        <w:t xml:space="preserve">Buen momento para dar un impulso a la infraestructura? </w:t>
      </w:r>
      <w:r w:rsidR="006D190A">
        <w:rPr>
          <w:rFonts w:cs="TimesNewRomanPS-BoldMT"/>
          <w:bCs/>
          <w:sz w:val="18"/>
          <w:szCs w:val="18"/>
        </w:rPr>
        <w:t>L</w:t>
      </w:r>
      <w:r w:rsidRPr="00F446F7">
        <w:rPr>
          <w:rFonts w:cs="TimesNewRomanPS-BoldMT"/>
          <w:bCs/>
          <w:sz w:val="18"/>
          <w:szCs w:val="18"/>
        </w:rPr>
        <w:t xml:space="preserve">os efectos macroeconómicos de la inversión pública. </w:t>
      </w:r>
      <w:r w:rsidRPr="00F446F7">
        <w:rPr>
          <w:rFonts w:cs="TimesNewRomanPS-BoldItalicMT"/>
          <w:bCs/>
          <w:iCs/>
          <w:sz w:val="18"/>
          <w:szCs w:val="18"/>
        </w:rPr>
        <w:t>Perspectivas de la economía mundial. Nota de prensa capítulo 3. FMI</w:t>
      </w:r>
      <w:r w:rsidRPr="00F446F7">
        <w:rPr>
          <w:rFonts w:cs="TimesNewRomanPS-BoldMT"/>
          <w:bCs/>
          <w:sz w:val="18"/>
          <w:szCs w:val="18"/>
        </w:rPr>
        <w:t>, octubre de 2014.</w:t>
      </w:r>
    </w:p>
  </w:footnote>
  <w:footnote w:id="2">
    <w:p w:rsidR="003A44E0" w:rsidRPr="00F446F7" w:rsidRDefault="003A44E0" w:rsidP="003A44E0">
      <w:pPr>
        <w:pStyle w:val="Textonotapie"/>
        <w:jc w:val="both"/>
        <w:rPr>
          <w:sz w:val="18"/>
          <w:szCs w:val="18"/>
        </w:rPr>
      </w:pPr>
      <w:r w:rsidRPr="00F446F7">
        <w:rPr>
          <w:rStyle w:val="Refdenotaalpie"/>
          <w:sz w:val="18"/>
          <w:szCs w:val="18"/>
        </w:rPr>
        <w:footnoteRef/>
      </w:r>
      <w:r w:rsidRPr="00F446F7">
        <w:rPr>
          <w:sz w:val="18"/>
          <w:szCs w:val="18"/>
        </w:rPr>
        <w:t xml:space="preserve"> Es el rendimiento de una inversión tipificada como la actualización o descuento que hace igual a cero el valor capital, es decir</w:t>
      </w:r>
      <w:r w:rsidR="006861BE" w:rsidRPr="00F446F7">
        <w:rPr>
          <w:sz w:val="18"/>
          <w:szCs w:val="18"/>
        </w:rPr>
        <w:t>,</w:t>
      </w:r>
      <w:r w:rsidRPr="00F446F7">
        <w:rPr>
          <w:sz w:val="18"/>
          <w:szCs w:val="18"/>
        </w:rPr>
        <w:t xml:space="preserve"> anula el valor actual neto de la inversión, representado por el valor actualizado de todos los rendimientos esperados.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543"/>
    <w:multiLevelType w:val="hybridMultilevel"/>
    <w:tmpl w:val="B546F432"/>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8F7B80"/>
    <w:multiLevelType w:val="hybridMultilevel"/>
    <w:tmpl w:val="B546F432"/>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3F5172"/>
    <w:multiLevelType w:val="hybridMultilevel"/>
    <w:tmpl w:val="83A6E53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244304"/>
    <w:multiLevelType w:val="hybridMultilevel"/>
    <w:tmpl w:val="B464FCDC"/>
    <w:lvl w:ilvl="0" w:tplc="828E0DA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33103D51"/>
    <w:multiLevelType w:val="hybridMultilevel"/>
    <w:tmpl w:val="19D082D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62B3DAC"/>
    <w:multiLevelType w:val="hybridMultilevel"/>
    <w:tmpl w:val="83BE9CF6"/>
    <w:lvl w:ilvl="0" w:tplc="12B03746">
      <w:start w:val="1"/>
      <w:numFmt w:val="bullet"/>
      <w:lvlText w:val="-"/>
      <w:lvlJc w:val="left"/>
      <w:pPr>
        <w:tabs>
          <w:tab w:val="num" w:pos="720"/>
        </w:tabs>
        <w:ind w:left="720" w:hanging="360"/>
      </w:pPr>
      <w:rPr>
        <w:rFonts w:ascii="Times New Roman" w:hAnsi="Times New Roman" w:hint="default"/>
      </w:rPr>
    </w:lvl>
    <w:lvl w:ilvl="1" w:tplc="CE3699DC" w:tentative="1">
      <w:start w:val="1"/>
      <w:numFmt w:val="bullet"/>
      <w:lvlText w:val="-"/>
      <w:lvlJc w:val="left"/>
      <w:pPr>
        <w:tabs>
          <w:tab w:val="num" w:pos="1440"/>
        </w:tabs>
        <w:ind w:left="1440" w:hanging="360"/>
      </w:pPr>
      <w:rPr>
        <w:rFonts w:ascii="Times New Roman" w:hAnsi="Times New Roman" w:hint="default"/>
      </w:rPr>
    </w:lvl>
    <w:lvl w:ilvl="2" w:tplc="2FE4CD1E" w:tentative="1">
      <w:start w:val="1"/>
      <w:numFmt w:val="bullet"/>
      <w:lvlText w:val="-"/>
      <w:lvlJc w:val="left"/>
      <w:pPr>
        <w:tabs>
          <w:tab w:val="num" w:pos="2160"/>
        </w:tabs>
        <w:ind w:left="2160" w:hanging="360"/>
      </w:pPr>
      <w:rPr>
        <w:rFonts w:ascii="Times New Roman" w:hAnsi="Times New Roman" w:hint="default"/>
      </w:rPr>
    </w:lvl>
    <w:lvl w:ilvl="3" w:tplc="79B233A2" w:tentative="1">
      <w:start w:val="1"/>
      <w:numFmt w:val="bullet"/>
      <w:lvlText w:val="-"/>
      <w:lvlJc w:val="left"/>
      <w:pPr>
        <w:tabs>
          <w:tab w:val="num" w:pos="2880"/>
        </w:tabs>
        <w:ind w:left="2880" w:hanging="360"/>
      </w:pPr>
      <w:rPr>
        <w:rFonts w:ascii="Times New Roman" w:hAnsi="Times New Roman" w:hint="default"/>
      </w:rPr>
    </w:lvl>
    <w:lvl w:ilvl="4" w:tplc="17568386" w:tentative="1">
      <w:start w:val="1"/>
      <w:numFmt w:val="bullet"/>
      <w:lvlText w:val="-"/>
      <w:lvlJc w:val="left"/>
      <w:pPr>
        <w:tabs>
          <w:tab w:val="num" w:pos="3600"/>
        </w:tabs>
        <w:ind w:left="3600" w:hanging="360"/>
      </w:pPr>
      <w:rPr>
        <w:rFonts w:ascii="Times New Roman" w:hAnsi="Times New Roman" w:hint="default"/>
      </w:rPr>
    </w:lvl>
    <w:lvl w:ilvl="5" w:tplc="17A20192" w:tentative="1">
      <w:start w:val="1"/>
      <w:numFmt w:val="bullet"/>
      <w:lvlText w:val="-"/>
      <w:lvlJc w:val="left"/>
      <w:pPr>
        <w:tabs>
          <w:tab w:val="num" w:pos="4320"/>
        </w:tabs>
        <w:ind w:left="4320" w:hanging="360"/>
      </w:pPr>
      <w:rPr>
        <w:rFonts w:ascii="Times New Roman" w:hAnsi="Times New Roman" w:hint="default"/>
      </w:rPr>
    </w:lvl>
    <w:lvl w:ilvl="6" w:tplc="AEE4036A" w:tentative="1">
      <w:start w:val="1"/>
      <w:numFmt w:val="bullet"/>
      <w:lvlText w:val="-"/>
      <w:lvlJc w:val="left"/>
      <w:pPr>
        <w:tabs>
          <w:tab w:val="num" w:pos="5040"/>
        </w:tabs>
        <w:ind w:left="5040" w:hanging="360"/>
      </w:pPr>
      <w:rPr>
        <w:rFonts w:ascii="Times New Roman" w:hAnsi="Times New Roman" w:hint="default"/>
      </w:rPr>
    </w:lvl>
    <w:lvl w:ilvl="7" w:tplc="6DF27960" w:tentative="1">
      <w:start w:val="1"/>
      <w:numFmt w:val="bullet"/>
      <w:lvlText w:val="-"/>
      <w:lvlJc w:val="left"/>
      <w:pPr>
        <w:tabs>
          <w:tab w:val="num" w:pos="5760"/>
        </w:tabs>
        <w:ind w:left="5760" w:hanging="360"/>
      </w:pPr>
      <w:rPr>
        <w:rFonts w:ascii="Times New Roman" w:hAnsi="Times New Roman" w:hint="default"/>
      </w:rPr>
    </w:lvl>
    <w:lvl w:ilvl="8" w:tplc="F50A3E6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6B6F21"/>
    <w:multiLevelType w:val="hybridMultilevel"/>
    <w:tmpl w:val="032CEA76"/>
    <w:lvl w:ilvl="0" w:tplc="5B82E72C">
      <w:start w:val="1"/>
      <w:numFmt w:val="decimal"/>
      <w:lvlText w:val="%1."/>
      <w:lvlJc w:val="left"/>
      <w:pPr>
        <w:tabs>
          <w:tab w:val="num" w:pos="720"/>
        </w:tabs>
        <w:ind w:left="720" w:hanging="360"/>
      </w:pPr>
    </w:lvl>
    <w:lvl w:ilvl="1" w:tplc="3E56C322" w:tentative="1">
      <w:start w:val="1"/>
      <w:numFmt w:val="decimal"/>
      <w:lvlText w:val="%2."/>
      <w:lvlJc w:val="left"/>
      <w:pPr>
        <w:tabs>
          <w:tab w:val="num" w:pos="1440"/>
        </w:tabs>
        <w:ind w:left="1440" w:hanging="360"/>
      </w:pPr>
    </w:lvl>
    <w:lvl w:ilvl="2" w:tplc="8D90756E" w:tentative="1">
      <w:start w:val="1"/>
      <w:numFmt w:val="decimal"/>
      <w:lvlText w:val="%3."/>
      <w:lvlJc w:val="left"/>
      <w:pPr>
        <w:tabs>
          <w:tab w:val="num" w:pos="2160"/>
        </w:tabs>
        <w:ind w:left="2160" w:hanging="360"/>
      </w:pPr>
    </w:lvl>
    <w:lvl w:ilvl="3" w:tplc="845428E0" w:tentative="1">
      <w:start w:val="1"/>
      <w:numFmt w:val="decimal"/>
      <w:lvlText w:val="%4."/>
      <w:lvlJc w:val="left"/>
      <w:pPr>
        <w:tabs>
          <w:tab w:val="num" w:pos="2880"/>
        </w:tabs>
        <w:ind w:left="2880" w:hanging="360"/>
      </w:pPr>
    </w:lvl>
    <w:lvl w:ilvl="4" w:tplc="8FDA34BE" w:tentative="1">
      <w:start w:val="1"/>
      <w:numFmt w:val="decimal"/>
      <w:lvlText w:val="%5."/>
      <w:lvlJc w:val="left"/>
      <w:pPr>
        <w:tabs>
          <w:tab w:val="num" w:pos="3600"/>
        </w:tabs>
        <w:ind w:left="3600" w:hanging="360"/>
      </w:pPr>
    </w:lvl>
    <w:lvl w:ilvl="5" w:tplc="AF443886" w:tentative="1">
      <w:start w:val="1"/>
      <w:numFmt w:val="decimal"/>
      <w:lvlText w:val="%6."/>
      <w:lvlJc w:val="left"/>
      <w:pPr>
        <w:tabs>
          <w:tab w:val="num" w:pos="4320"/>
        </w:tabs>
        <w:ind w:left="4320" w:hanging="360"/>
      </w:pPr>
    </w:lvl>
    <w:lvl w:ilvl="6" w:tplc="F2B241BC" w:tentative="1">
      <w:start w:val="1"/>
      <w:numFmt w:val="decimal"/>
      <w:lvlText w:val="%7."/>
      <w:lvlJc w:val="left"/>
      <w:pPr>
        <w:tabs>
          <w:tab w:val="num" w:pos="5040"/>
        </w:tabs>
        <w:ind w:left="5040" w:hanging="360"/>
      </w:pPr>
    </w:lvl>
    <w:lvl w:ilvl="7" w:tplc="1E1EED18" w:tentative="1">
      <w:start w:val="1"/>
      <w:numFmt w:val="decimal"/>
      <w:lvlText w:val="%8."/>
      <w:lvlJc w:val="left"/>
      <w:pPr>
        <w:tabs>
          <w:tab w:val="num" w:pos="5760"/>
        </w:tabs>
        <w:ind w:left="5760" w:hanging="360"/>
      </w:pPr>
    </w:lvl>
    <w:lvl w:ilvl="8" w:tplc="5368574A" w:tentative="1">
      <w:start w:val="1"/>
      <w:numFmt w:val="decimal"/>
      <w:lvlText w:val="%9."/>
      <w:lvlJc w:val="left"/>
      <w:pPr>
        <w:tabs>
          <w:tab w:val="num" w:pos="6480"/>
        </w:tabs>
        <w:ind w:left="6480" w:hanging="360"/>
      </w:pPr>
    </w:lvl>
  </w:abstractNum>
  <w:abstractNum w:abstractNumId="7">
    <w:nsid w:val="44D67660"/>
    <w:multiLevelType w:val="hybridMultilevel"/>
    <w:tmpl w:val="021C311A"/>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5752836"/>
    <w:multiLevelType w:val="hybridMultilevel"/>
    <w:tmpl w:val="B546F432"/>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A704F1A"/>
    <w:multiLevelType w:val="hybridMultilevel"/>
    <w:tmpl w:val="D9C614AE"/>
    <w:lvl w:ilvl="0" w:tplc="C1B49D58">
      <w:start w:val="1"/>
      <w:numFmt w:val="bullet"/>
      <w:lvlText w:val="-"/>
      <w:lvlJc w:val="left"/>
      <w:pPr>
        <w:tabs>
          <w:tab w:val="num" w:pos="720"/>
        </w:tabs>
        <w:ind w:left="720" w:hanging="360"/>
      </w:pPr>
      <w:rPr>
        <w:rFonts w:ascii="Times New Roman" w:hAnsi="Times New Roman" w:hint="default"/>
      </w:rPr>
    </w:lvl>
    <w:lvl w:ilvl="1" w:tplc="D0725F9A" w:tentative="1">
      <w:start w:val="1"/>
      <w:numFmt w:val="bullet"/>
      <w:lvlText w:val="-"/>
      <w:lvlJc w:val="left"/>
      <w:pPr>
        <w:tabs>
          <w:tab w:val="num" w:pos="1440"/>
        </w:tabs>
        <w:ind w:left="1440" w:hanging="360"/>
      </w:pPr>
      <w:rPr>
        <w:rFonts w:ascii="Times New Roman" w:hAnsi="Times New Roman" w:hint="default"/>
      </w:rPr>
    </w:lvl>
    <w:lvl w:ilvl="2" w:tplc="F9FCE766" w:tentative="1">
      <w:start w:val="1"/>
      <w:numFmt w:val="bullet"/>
      <w:lvlText w:val="-"/>
      <w:lvlJc w:val="left"/>
      <w:pPr>
        <w:tabs>
          <w:tab w:val="num" w:pos="2160"/>
        </w:tabs>
        <w:ind w:left="2160" w:hanging="360"/>
      </w:pPr>
      <w:rPr>
        <w:rFonts w:ascii="Times New Roman" w:hAnsi="Times New Roman" w:hint="default"/>
      </w:rPr>
    </w:lvl>
    <w:lvl w:ilvl="3" w:tplc="DB085544" w:tentative="1">
      <w:start w:val="1"/>
      <w:numFmt w:val="bullet"/>
      <w:lvlText w:val="-"/>
      <w:lvlJc w:val="left"/>
      <w:pPr>
        <w:tabs>
          <w:tab w:val="num" w:pos="2880"/>
        </w:tabs>
        <w:ind w:left="2880" w:hanging="360"/>
      </w:pPr>
      <w:rPr>
        <w:rFonts w:ascii="Times New Roman" w:hAnsi="Times New Roman" w:hint="default"/>
      </w:rPr>
    </w:lvl>
    <w:lvl w:ilvl="4" w:tplc="617EBAD6" w:tentative="1">
      <w:start w:val="1"/>
      <w:numFmt w:val="bullet"/>
      <w:lvlText w:val="-"/>
      <w:lvlJc w:val="left"/>
      <w:pPr>
        <w:tabs>
          <w:tab w:val="num" w:pos="3600"/>
        </w:tabs>
        <w:ind w:left="3600" w:hanging="360"/>
      </w:pPr>
      <w:rPr>
        <w:rFonts w:ascii="Times New Roman" w:hAnsi="Times New Roman" w:hint="default"/>
      </w:rPr>
    </w:lvl>
    <w:lvl w:ilvl="5" w:tplc="39783CC2" w:tentative="1">
      <w:start w:val="1"/>
      <w:numFmt w:val="bullet"/>
      <w:lvlText w:val="-"/>
      <w:lvlJc w:val="left"/>
      <w:pPr>
        <w:tabs>
          <w:tab w:val="num" w:pos="4320"/>
        </w:tabs>
        <w:ind w:left="4320" w:hanging="360"/>
      </w:pPr>
      <w:rPr>
        <w:rFonts w:ascii="Times New Roman" w:hAnsi="Times New Roman" w:hint="default"/>
      </w:rPr>
    </w:lvl>
    <w:lvl w:ilvl="6" w:tplc="274E5E50" w:tentative="1">
      <w:start w:val="1"/>
      <w:numFmt w:val="bullet"/>
      <w:lvlText w:val="-"/>
      <w:lvlJc w:val="left"/>
      <w:pPr>
        <w:tabs>
          <w:tab w:val="num" w:pos="5040"/>
        </w:tabs>
        <w:ind w:left="5040" w:hanging="360"/>
      </w:pPr>
      <w:rPr>
        <w:rFonts w:ascii="Times New Roman" w:hAnsi="Times New Roman" w:hint="default"/>
      </w:rPr>
    </w:lvl>
    <w:lvl w:ilvl="7" w:tplc="B3204F52" w:tentative="1">
      <w:start w:val="1"/>
      <w:numFmt w:val="bullet"/>
      <w:lvlText w:val="-"/>
      <w:lvlJc w:val="left"/>
      <w:pPr>
        <w:tabs>
          <w:tab w:val="num" w:pos="5760"/>
        </w:tabs>
        <w:ind w:left="5760" w:hanging="360"/>
      </w:pPr>
      <w:rPr>
        <w:rFonts w:ascii="Times New Roman" w:hAnsi="Times New Roman" w:hint="default"/>
      </w:rPr>
    </w:lvl>
    <w:lvl w:ilvl="8" w:tplc="548CE5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3807E4"/>
    <w:multiLevelType w:val="hybridMultilevel"/>
    <w:tmpl w:val="B546F432"/>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710E2F"/>
    <w:multiLevelType w:val="hybridMultilevel"/>
    <w:tmpl w:val="908276F0"/>
    <w:lvl w:ilvl="0" w:tplc="74E61324">
      <w:start w:val="1"/>
      <w:numFmt w:val="bullet"/>
      <w:lvlText w:val="-"/>
      <w:lvlJc w:val="left"/>
      <w:pPr>
        <w:tabs>
          <w:tab w:val="num" w:pos="720"/>
        </w:tabs>
        <w:ind w:left="720" w:hanging="360"/>
      </w:pPr>
      <w:rPr>
        <w:rFonts w:ascii="Times New Roman" w:hAnsi="Times New Roman" w:hint="default"/>
      </w:rPr>
    </w:lvl>
    <w:lvl w:ilvl="1" w:tplc="A94E938A" w:tentative="1">
      <w:start w:val="1"/>
      <w:numFmt w:val="bullet"/>
      <w:lvlText w:val="-"/>
      <w:lvlJc w:val="left"/>
      <w:pPr>
        <w:tabs>
          <w:tab w:val="num" w:pos="1440"/>
        </w:tabs>
        <w:ind w:left="1440" w:hanging="360"/>
      </w:pPr>
      <w:rPr>
        <w:rFonts w:ascii="Times New Roman" w:hAnsi="Times New Roman" w:hint="default"/>
      </w:rPr>
    </w:lvl>
    <w:lvl w:ilvl="2" w:tplc="B15CB472" w:tentative="1">
      <w:start w:val="1"/>
      <w:numFmt w:val="bullet"/>
      <w:lvlText w:val="-"/>
      <w:lvlJc w:val="left"/>
      <w:pPr>
        <w:tabs>
          <w:tab w:val="num" w:pos="2160"/>
        </w:tabs>
        <w:ind w:left="2160" w:hanging="360"/>
      </w:pPr>
      <w:rPr>
        <w:rFonts w:ascii="Times New Roman" w:hAnsi="Times New Roman" w:hint="default"/>
      </w:rPr>
    </w:lvl>
    <w:lvl w:ilvl="3" w:tplc="F7900FAE" w:tentative="1">
      <w:start w:val="1"/>
      <w:numFmt w:val="bullet"/>
      <w:lvlText w:val="-"/>
      <w:lvlJc w:val="left"/>
      <w:pPr>
        <w:tabs>
          <w:tab w:val="num" w:pos="2880"/>
        </w:tabs>
        <w:ind w:left="2880" w:hanging="360"/>
      </w:pPr>
      <w:rPr>
        <w:rFonts w:ascii="Times New Roman" w:hAnsi="Times New Roman" w:hint="default"/>
      </w:rPr>
    </w:lvl>
    <w:lvl w:ilvl="4" w:tplc="08ECC69A" w:tentative="1">
      <w:start w:val="1"/>
      <w:numFmt w:val="bullet"/>
      <w:lvlText w:val="-"/>
      <w:lvlJc w:val="left"/>
      <w:pPr>
        <w:tabs>
          <w:tab w:val="num" w:pos="3600"/>
        </w:tabs>
        <w:ind w:left="3600" w:hanging="360"/>
      </w:pPr>
      <w:rPr>
        <w:rFonts w:ascii="Times New Roman" w:hAnsi="Times New Roman" w:hint="default"/>
      </w:rPr>
    </w:lvl>
    <w:lvl w:ilvl="5" w:tplc="8A32189A" w:tentative="1">
      <w:start w:val="1"/>
      <w:numFmt w:val="bullet"/>
      <w:lvlText w:val="-"/>
      <w:lvlJc w:val="left"/>
      <w:pPr>
        <w:tabs>
          <w:tab w:val="num" w:pos="4320"/>
        </w:tabs>
        <w:ind w:left="4320" w:hanging="360"/>
      </w:pPr>
      <w:rPr>
        <w:rFonts w:ascii="Times New Roman" w:hAnsi="Times New Roman" w:hint="default"/>
      </w:rPr>
    </w:lvl>
    <w:lvl w:ilvl="6" w:tplc="17847244" w:tentative="1">
      <w:start w:val="1"/>
      <w:numFmt w:val="bullet"/>
      <w:lvlText w:val="-"/>
      <w:lvlJc w:val="left"/>
      <w:pPr>
        <w:tabs>
          <w:tab w:val="num" w:pos="5040"/>
        </w:tabs>
        <w:ind w:left="5040" w:hanging="360"/>
      </w:pPr>
      <w:rPr>
        <w:rFonts w:ascii="Times New Roman" w:hAnsi="Times New Roman" w:hint="default"/>
      </w:rPr>
    </w:lvl>
    <w:lvl w:ilvl="7" w:tplc="0B262B10" w:tentative="1">
      <w:start w:val="1"/>
      <w:numFmt w:val="bullet"/>
      <w:lvlText w:val="-"/>
      <w:lvlJc w:val="left"/>
      <w:pPr>
        <w:tabs>
          <w:tab w:val="num" w:pos="5760"/>
        </w:tabs>
        <w:ind w:left="5760" w:hanging="360"/>
      </w:pPr>
      <w:rPr>
        <w:rFonts w:ascii="Times New Roman" w:hAnsi="Times New Roman" w:hint="default"/>
      </w:rPr>
    </w:lvl>
    <w:lvl w:ilvl="8" w:tplc="7BDC123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E311EF6"/>
    <w:multiLevelType w:val="hybridMultilevel"/>
    <w:tmpl w:val="045A3B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8D62D1"/>
    <w:multiLevelType w:val="hybridMultilevel"/>
    <w:tmpl w:val="7C58E03A"/>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39A2CCE"/>
    <w:multiLevelType w:val="hybridMultilevel"/>
    <w:tmpl w:val="2862AB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4B22558"/>
    <w:multiLevelType w:val="hybridMultilevel"/>
    <w:tmpl w:val="D7AA4F68"/>
    <w:lvl w:ilvl="0" w:tplc="828E0D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4"/>
  </w:num>
  <w:num w:numId="5">
    <w:abstractNumId w:val="9"/>
  </w:num>
  <w:num w:numId="6">
    <w:abstractNumId w:val="5"/>
  </w:num>
  <w:num w:numId="7">
    <w:abstractNumId w:val="12"/>
  </w:num>
  <w:num w:numId="8">
    <w:abstractNumId w:val="2"/>
  </w:num>
  <w:num w:numId="9">
    <w:abstractNumId w:val="7"/>
  </w:num>
  <w:num w:numId="10">
    <w:abstractNumId w:val="11"/>
  </w:num>
  <w:num w:numId="11">
    <w:abstractNumId w:val="8"/>
  </w:num>
  <w:num w:numId="12">
    <w:abstractNumId w:val="0"/>
  </w:num>
  <w:num w:numId="13">
    <w:abstractNumId w:val="13"/>
  </w:num>
  <w:num w:numId="14">
    <w:abstractNumId w:val="1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CD"/>
    <w:rsid w:val="0001521D"/>
    <w:rsid w:val="00075F34"/>
    <w:rsid w:val="00076D96"/>
    <w:rsid w:val="000C262D"/>
    <w:rsid w:val="000C3BBF"/>
    <w:rsid w:val="00154E68"/>
    <w:rsid w:val="0016130D"/>
    <w:rsid w:val="001C14CE"/>
    <w:rsid w:val="001D764E"/>
    <w:rsid w:val="001E3F6A"/>
    <w:rsid w:val="00206807"/>
    <w:rsid w:val="00217378"/>
    <w:rsid w:val="00230D0A"/>
    <w:rsid w:val="002456CA"/>
    <w:rsid w:val="0024580D"/>
    <w:rsid w:val="00263E52"/>
    <w:rsid w:val="002C5F04"/>
    <w:rsid w:val="0034632B"/>
    <w:rsid w:val="003A44E0"/>
    <w:rsid w:val="003C0B89"/>
    <w:rsid w:val="003C0D44"/>
    <w:rsid w:val="003E33B3"/>
    <w:rsid w:val="003E669B"/>
    <w:rsid w:val="004171A0"/>
    <w:rsid w:val="00462EDE"/>
    <w:rsid w:val="004C0B8A"/>
    <w:rsid w:val="004D2683"/>
    <w:rsid w:val="005574D2"/>
    <w:rsid w:val="00567BEC"/>
    <w:rsid w:val="005727DD"/>
    <w:rsid w:val="005C08A4"/>
    <w:rsid w:val="005C7205"/>
    <w:rsid w:val="0063538B"/>
    <w:rsid w:val="0065387E"/>
    <w:rsid w:val="00663C11"/>
    <w:rsid w:val="00671D2B"/>
    <w:rsid w:val="006861BE"/>
    <w:rsid w:val="00692B07"/>
    <w:rsid w:val="006C74B7"/>
    <w:rsid w:val="006D190A"/>
    <w:rsid w:val="007522E0"/>
    <w:rsid w:val="007A1788"/>
    <w:rsid w:val="007B2FE7"/>
    <w:rsid w:val="007B6ED2"/>
    <w:rsid w:val="007C6F1A"/>
    <w:rsid w:val="00803990"/>
    <w:rsid w:val="00804A2D"/>
    <w:rsid w:val="008375AE"/>
    <w:rsid w:val="00846855"/>
    <w:rsid w:val="0086414C"/>
    <w:rsid w:val="008A4237"/>
    <w:rsid w:val="008B5F8F"/>
    <w:rsid w:val="008E4BEE"/>
    <w:rsid w:val="00906533"/>
    <w:rsid w:val="009410CA"/>
    <w:rsid w:val="009632C4"/>
    <w:rsid w:val="009654DC"/>
    <w:rsid w:val="00967020"/>
    <w:rsid w:val="00970AC0"/>
    <w:rsid w:val="00973FC1"/>
    <w:rsid w:val="009B47CD"/>
    <w:rsid w:val="00A523BD"/>
    <w:rsid w:val="00AA22D7"/>
    <w:rsid w:val="00AC46C5"/>
    <w:rsid w:val="00AE14F3"/>
    <w:rsid w:val="00B30460"/>
    <w:rsid w:val="00B3613E"/>
    <w:rsid w:val="00B64CC7"/>
    <w:rsid w:val="00B85B84"/>
    <w:rsid w:val="00BC0C7B"/>
    <w:rsid w:val="00CA63B5"/>
    <w:rsid w:val="00CB3BB6"/>
    <w:rsid w:val="00CC5D44"/>
    <w:rsid w:val="00CE477C"/>
    <w:rsid w:val="00D15AC3"/>
    <w:rsid w:val="00D23F8F"/>
    <w:rsid w:val="00D265CD"/>
    <w:rsid w:val="00D3074A"/>
    <w:rsid w:val="00D64509"/>
    <w:rsid w:val="00D7399F"/>
    <w:rsid w:val="00D873E1"/>
    <w:rsid w:val="00DB03D8"/>
    <w:rsid w:val="00DB5BCD"/>
    <w:rsid w:val="00DC1179"/>
    <w:rsid w:val="00DF0DE4"/>
    <w:rsid w:val="00DF30E1"/>
    <w:rsid w:val="00DF5863"/>
    <w:rsid w:val="00E17F6D"/>
    <w:rsid w:val="00E40D20"/>
    <w:rsid w:val="00E5228C"/>
    <w:rsid w:val="00E67C56"/>
    <w:rsid w:val="00E95D2F"/>
    <w:rsid w:val="00EF23BE"/>
    <w:rsid w:val="00EF3EB6"/>
    <w:rsid w:val="00F17DBF"/>
    <w:rsid w:val="00F446F7"/>
    <w:rsid w:val="00F54945"/>
    <w:rsid w:val="00F674A8"/>
    <w:rsid w:val="00FC4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30D0A"/>
    <w:pPr>
      <w:spacing w:after="0" w:line="240" w:lineRule="auto"/>
      <w:jc w:val="both"/>
    </w:pPr>
    <w:rPr>
      <w:rFonts w:ascii="Arial" w:eastAsia="Batang" w:hAnsi="Arial" w:cs="Arial"/>
      <w:color w:val="000000"/>
      <w:sz w:val="16"/>
      <w:szCs w:val="16"/>
      <w:lang w:eastAsia="es-ES"/>
    </w:rPr>
  </w:style>
  <w:style w:type="character" w:customStyle="1" w:styleId="Textoindependiente3Car">
    <w:name w:val="Texto independiente 3 Car"/>
    <w:basedOn w:val="Fuentedeprrafopredeter"/>
    <w:link w:val="Textoindependiente3"/>
    <w:rsid w:val="00230D0A"/>
    <w:rPr>
      <w:rFonts w:ascii="Arial" w:eastAsia="Batang" w:hAnsi="Arial" w:cs="Arial"/>
      <w:color w:val="000000"/>
      <w:sz w:val="16"/>
      <w:szCs w:val="16"/>
      <w:lang w:eastAsia="es-ES"/>
    </w:rPr>
  </w:style>
  <w:style w:type="character" w:styleId="Refdenotaalpie">
    <w:name w:val="footnote reference"/>
    <w:semiHidden/>
    <w:rsid w:val="0001521D"/>
    <w:rPr>
      <w:vertAlign w:val="superscript"/>
    </w:rPr>
  </w:style>
  <w:style w:type="paragraph" w:styleId="Textodeglobo">
    <w:name w:val="Balloon Text"/>
    <w:basedOn w:val="Normal"/>
    <w:link w:val="TextodegloboCar"/>
    <w:uiPriority w:val="99"/>
    <w:semiHidden/>
    <w:unhideWhenUsed/>
    <w:rsid w:val="00BC0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C7B"/>
    <w:rPr>
      <w:rFonts w:ascii="Tahoma" w:hAnsi="Tahoma" w:cs="Tahoma"/>
      <w:sz w:val="16"/>
      <w:szCs w:val="16"/>
    </w:rPr>
  </w:style>
  <w:style w:type="character" w:styleId="Refdenotaalfinal">
    <w:name w:val="endnote reference"/>
    <w:semiHidden/>
    <w:rsid w:val="00FC4FF1"/>
    <w:rPr>
      <w:vertAlign w:val="superscript"/>
    </w:rPr>
  </w:style>
  <w:style w:type="character" w:styleId="Hipervnculo">
    <w:name w:val="Hyperlink"/>
    <w:rsid w:val="00FC4FF1"/>
    <w:rPr>
      <w:color w:val="0000FF"/>
      <w:u w:val="single"/>
    </w:rPr>
  </w:style>
  <w:style w:type="paragraph" w:styleId="Textonotaalfinal">
    <w:name w:val="endnote text"/>
    <w:basedOn w:val="Normal"/>
    <w:link w:val="TextonotaalfinalCar"/>
    <w:semiHidden/>
    <w:rsid w:val="00FC4FF1"/>
    <w:pPr>
      <w:spacing w:after="0" w:line="240" w:lineRule="auto"/>
    </w:pPr>
    <w:rPr>
      <w:rFonts w:ascii="Arial" w:eastAsia="Times New Roman" w:hAnsi="Arial" w:cs="Arial"/>
      <w:color w:val="000000"/>
      <w:sz w:val="20"/>
      <w:szCs w:val="20"/>
      <w:lang w:eastAsia="es-ES"/>
    </w:rPr>
  </w:style>
  <w:style w:type="character" w:customStyle="1" w:styleId="TextonotaalfinalCar">
    <w:name w:val="Texto nota al final Car"/>
    <w:basedOn w:val="Fuentedeprrafopredeter"/>
    <w:link w:val="Textonotaalfinal"/>
    <w:semiHidden/>
    <w:rsid w:val="00FC4FF1"/>
    <w:rPr>
      <w:rFonts w:ascii="Arial" w:eastAsia="Times New Roman" w:hAnsi="Arial" w:cs="Arial"/>
      <w:color w:val="000000"/>
      <w:sz w:val="20"/>
      <w:szCs w:val="20"/>
      <w:lang w:eastAsia="es-ES"/>
    </w:rPr>
  </w:style>
  <w:style w:type="paragraph" w:styleId="Prrafodelista">
    <w:name w:val="List Paragraph"/>
    <w:basedOn w:val="Normal"/>
    <w:uiPriority w:val="34"/>
    <w:qFormat/>
    <w:rsid w:val="009410CA"/>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63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C11"/>
  </w:style>
  <w:style w:type="paragraph" w:styleId="Piedepgina">
    <w:name w:val="footer"/>
    <w:basedOn w:val="Normal"/>
    <w:link w:val="PiedepginaCar"/>
    <w:uiPriority w:val="99"/>
    <w:unhideWhenUsed/>
    <w:rsid w:val="00663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C11"/>
  </w:style>
  <w:style w:type="paragraph" w:styleId="Textonotapie">
    <w:name w:val="footnote text"/>
    <w:basedOn w:val="Normal"/>
    <w:link w:val="TextonotapieCar"/>
    <w:uiPriority w:val="99"/>
    <w:semiHidden/>
    <w:unhideWhenUsed/>
    <w:rsid w:val="003A44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44E0"/>
    <w:rPr>
      <w:sz w:val="20"/>
      <w:szCs w:val="20"/>
    </w:rPr>
  </w:style>
  <w:style w:type="paragraph" w:styleId="Textoindependiente">
    <w:name w:val="Body Text"/>
    <w:basedOn w:val="Normal"/>
    <w:link w:val="TextoindependienteCar"/>
    <w:uiPriority w:val="99"/>
    <w:semiHidden/>
    <w:unhideWhenUsed/>
    <w:rsid w:val="008E4BEE"/>
    <w:pPr>
      <w:spacing w:after="120"/>
    </w:pPr>
  </w:style>
  <w:style w:type="character" w:customStyle="1" w:styleId="TextoindependienteCar">
    <w:name w:val="Texto independiente Car"/>
    <w:basedOn w:val="Fuentedeprrafopredeter"/>
    <w:link w:val="Textoindependiente"/>
    <w:uiPriority w:val="99"/>
    <w:semiHidden/>
    <w:rsid w:val="008E4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30D0A"/>
    <w:pPr>
      <w:spacing w:after="0" w:line="240" w:lineRule="auto"/>
      <w:jc w:val="both"/>
    </w:pPr>
    <w:rPr>
      <w:rFonts w:ascii="Arial" w:eastAsia="Batang" w:hAnsi="Arial" w:cs="Arial"/>
      <w:color w:val="000000"/>
      <w:sz w:val="16"/>
      <w:szCs w:val="16"/>
      <w:lang w:eastAsia="es-ES"/>
    </w:rPr>
  </w:style>
  <w:style w:type="character" w:customStyle="1" w:styleId="Textoindependiente3Car">
    <w:name w:val="Texto independiente 3 Car"/>
    <w:basedOn w:val="Fuentedeprrafopredeter"/>
    <w:link w:val="Textoindependiente3"/>
    <w:rsid w:val="00230D0A"/>
    <w:rPr>
      <w:rFonts w:ascii="Arial" w:eastAsia="Batang" w:hAnsi="Arial" w:cs="Arial"/>
      <w:color w:val="000000"/>
      <w:sz w:val="16"/>
      <w:szCs w:val="16"/>
      <w:lang w:eastAsia="es-ES"/>
    </w:rPr>
  </w:style>
  <w:style w:type="character" w:styleId="Refdenotaalpie">
    <w:name w:val="footnote reference"/>
    <w:semiHidden/>
    <w:rsid w:val="0001521D"/>
    <w:rPr>
      <w:vertAlign w:val="superscript"/>
    </w:rPr>
  </w:style>
  <w:style w:type="paragraph" w:styleId="Textodeglobo">
    <w:name w:val="Balloon Text"/>
    <w:basedOn w:val="Normal"/>
    <w:link w:val="TextodegloboCar"/>
    <w:uiPriority w:val="99"/>
    <w:semiHidden/>
    <w:unhideWhenUsed/>
    <w:rsid w:val="00BC0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C7B"/>
    <w:rPr>
      <w:rFonts w:ascii="Tahoma" w:hAnsi="Tahoma" w:cs="Tahoma"/>
      <w:sz w:val="16"/>
      <w:szCs w:val="16"/>
    </w:rPr>
  </w:style>
  <w:style w:type="character" w:styleId="Refdenotaalfinal">
    <w:name w:val="endnote reference"/>
    <w:semiHidden/>
    <w:rsid w:val="00FC4FF1"/>
    <w:rPr>
      <w:vertAlign w:val="superscript"/>
    </w:rPr>
  </w:style>
  <w:style w:type="character" w:styleId="Hipervnculo">
    <w:name w:val="Hyperlink"/>
    <w:rsid w:val="00FC4FF1"/>
    <w:rPr>
      <w:color w:val="0000FF"/>
      <w:u w:val="single"/>
    </w:rPr>
  </w:style>
  <w:style w:type="paragraph" w:styleId="Textonotaalfinal">
    <w:name w:val="endnote text"/>
    <w:basedOn w:val="Normal"/>
    <w:link w:val="TextonotaalfinalCar"/>
    <w:semiHidden/>
    <w:rsid w:val="00FC4FF1"/>
    <w:pPr>
      <w:spacing w:after="0" w:line="240" w:lineRule="auto"/>
    </w:pPr>
    <w:rPr>
      <w:rFonts w:ascii="Arial" w:eastAsia="Times New Roman" w:hAnsi="Arial" w:cs="Arial"/>
      <w:color w:val="000000"/>
      <w:sz w:val="20"/>
      <w:szCs w:val="20"/>
      <w:lang w:eastAsia="es-ES"/>
    </w:rPr>
  </w:style>
  <w:style w:type="character" w:customStyle="1" w:styleId="TextonotaalfinalCar">
    <w:name w:val="Texto nota al final Car"/>
    <w:basedOn w:val="Fuentedeprrafopredeter"/>
    <w:link w:val="Textonotaalfinal"/>
    <w:semiHidden/>
    <w:rsid w:val="00FC4FF1"/>
    <w:rPr>
      <w:rFonts w:ascii="Arial" w:eastAsia="Times New Roman" w:hAnsi="Arial" w:cs="Arial"/>
      <w:color w:val="000000"/>
      <w:sz w:val="20"/>
      <w:szCs w:val="20"/>
      <w:lang w:eastAsia="es-ES"/>
    </w:rPr>
  </w:style>
  <w:style w:type="paragraph" w:styleId="Prrafodelista">
    <w:name w:val="List Paragraph"/>
    <w:basedOn w:val="Normal"/>
    <w:uiPriority w:val="34"/>
    <w:qFormat/>
    <w:rsid w:val="009410CA"/>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63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C11"/>
  </w:style>
  <w:style w:type="paragraph" w:styleId="Piedepgina">
    <w:name w:val="footer"/>
    <w:basedOn w:val="Normal"/>
    <w:link w:val="PiedepginaCar"/>
    <w:uiPriority w:val="99"/>
    <w:unhideWhenUsed/>
    <w:rsid w:val="00663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C11"/>
  </w:style>
  <w:style w:type="paragraph" w:styleId="Textonotapie">
    <w:name w:val="footnote text"/>
    <w:basedOn w:val="Normal"/>
    <w:link w:val="TextonotapieCar"/>
    <w:uiPriority w:val="99"/>
    <w:semiHidden/>
    <w:unhideWhenUsed/>
    <w:rsid w:val="003A44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44E0"/>
    <w:rPr>
      <w:sz w:val="20"/>
      <w:szCs w:val="20"/>
    </w:rPr>
  </w:style>
  <w:style w:type="paragraph" w:styleId="Textoindependiente">
    <w:name w:val="Body Text"/>
    <w:basedOn w:val="Normal"/>
    <w:link w:val="TextoindependienteCar"/>
    <w:uiPriority w:val="99"/>
    <w:semiHidden/>
    <w:unhideWhenUsed/>
    <w:rsid w:val="008E4BEE"/>
    <w:pPr>
      <w:spacing w:after="120"/>
    </w:pPr>
  </w:style>
  <w:style w:type="character" w:customStyle="1" w:styleId="TextoindependienteCar">
    <w:name w:val="Texto independiente Car"/>
    <w:basedOn w:val="Fuentedeprrafopredeter"/>
    <w:link w:val="Textoindependiente"/>
    <w:uiPriority w:val="99"/>
    <w:semiHidden/>
    <w:rsid w:val="008E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2864">
      <w:bodyDiv w:val="1"/>
      <w:marLeft w:val="0"/>
      <w:marRight w:val="0"/>
      <w:marTop w:val="0"/>
      <w:marBottom w:val="0"/>
      <w:divBdr>
        <w:top w:val="none" w:sz="0" w:space="0" w:color="auto"/>
        <w:left w:val="none" w:sz="0" w:space="0" w:color="auto"/>
        <w:bottom w:val="none" w:sz="0" w:space="0" w:color="auto"/>
        <w:right w:val="none" w:sz="0" w:space="0" w:color="auto"/>
      </w:divBdr>
    </w:div>
    <w:div w:id="553201561">
      <w:bodyDiv w:val="1"/>
      <w:marLeft w:val="0"/>
      <w:marRight w:val="0"/>
      <w:marTop w:val="0"/>
      <w:marBottom w:val="0"/>
      <w:divBdr>
        <w:top w:val="none" w:sz="0" w:space="0" w:color="auto"/>
        <w:left w:val="none" w:sz="0" w:space="0" w:color="auto"/>
        <w:bottom w:val="none" w:sz="0" w:space="0" w:color="auto"/>
        <w:right w:val="none" w:sz="0" w:space="0" w:color="auto"/>
      </w:divBdr>
    </w:div>
    <w:div w:id="1330521004">
      <w:bodyDiv w:val="1"/>
      <w:marLeft w:val="0"/>
      <w:marRight w:val="0"/>
      <w:marTop w:val="0"/>
      <w:marBottom w:val="0"/>
      <w:divBdr>
        <w:top w:val="none" w:sz="0" w:space="0" w:color="auto"/>
        <w:left w:val="none" w:sz="0" w:space="0" w:color="auto"/>
        <w:bottom w:val="none" w:sz="0" w:space="0" w:color="auto"/>
        <w:right w:val="none" w:sz="0" w:space="0" w:color="auto"/>
      </w:divBdr>
    </w:div>
    <w:div w:id="1748110876">
      <w:bodyDiv w:val="1"/>
      <w:marLeft w:val="0"/>
      <w:marRight w:val="0"/>
      <w:marTop w:val="0"/>
      <w:marBottom w:val="0"/>
      <w:divBdr>
        <w:top w:val="none" w:sz="0" w:space="0" w:color="auto"/>
        <w:left w:val="none" w:sz="0" w:space="0" w:color="auto"/>
        <w:bottom w:val="none" w:sz="0" w:space="0" w:color="auto"/>
        <w:right w:val="none" w:sz="0" w:space="0" w:color="auto"/>
      </w:divBdr>
    </w:div>
    <w:div w:id="1931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bulletin/volumes/84/11/06-030015ab/es/index.html" TargetMode="Externa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3324-E7C6-404D-A767-B9E2CCDA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2905</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ANGEL OTEO OCHOA</dc:creator>
  <cp:lastModifiedBy>LUIS ANGEL OTEO OCHOA</cp:lastModifiedBy>
  <cp:revision>32</cp:revision>
  <cp:lastPrinted>2014-11-25T10:24:00Z</cp:lastPrinted>
  <dcterms:created xsi:type="dcterms:W3CDTF">2014-11-24T10:59:00Z</dcterms:created>
  <dcterms:modified xsi:type="dcterms:W3CDTF">2014-11-26T13:15:00Z</dcterms:modified>
</cp:coreProperties>
</file>